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C34CE" w14:textId="6317EA00" w:rsidR="00A37577" w:rsidRDefault="003D6876">
      <w:pPr>
        <w:pStyle w:val="Proposal"/>
        <w:snapToGrid w:val="0"/>
        <w:ind w:left="1701" w:hanging="1701"/>
        <w:outlineLvl w:val="0"/>
        <w:rPr>
          <w:rFonts w:ascii="Arial" w:hAnsi="Arial" w:cs="Arial"/>
          <w:b w:val="0"/>
          <w:bCs w:val="0"/>
          <w:sz w:val="22"/>
        </w:rPr>
      </w:pPr>
      <w:bookmarkStart w:id="0" w:name="OLE_LINK1"/>
      <w:bookmarkStart w:id="1" w:name="OLE_LINK2"/>
      <w:r>
        <w:rPr>
          <w:rFonts w:ascii="Arial" w:hAnsi="Arial" w:cs="Arial"/>
          <w:sz w:val="22"/>
        </w:rPr>
        <w:t>3GPP TSG RAN WG1 #10</w:t>
      </w:r>
      <w:r>
        <w:rPr>
          <w:rFonts w:ascii="Arial" w:hAnsi="Arial" w:cs="Arial" w:hint="eastAsia"/>
          <w:sz w:val="22"/>
        </w:rPr>
        <w:t>9</w:t>
      </w:r>
      <w:r>
        <w:rPr>
          <w:rFonts w:ascii="Arial" w:hAnsi="Arial" w:cs="Arial"/>
          <w:sz w:val="22"/>
        </w:rPr>
        <w:t>-e</w:t>
      </w:r>
      <w:r>
        <w:rPr>
          <w:rFonts w:ascii="Arial" w:hAnsi="Arial" w:cs="Arial"/>
          <w:sz w:val="22"/>
        </w:rPr>
        <w:tab/>
      </w:r>
      <w:r>
        <w:rPr>
          <w:rFonts w:ascii="Arial" w:hAnsi="Arial" w:cs="Arial"/>
          <w:sz w:val="22"/>
        </w:rPr>
        <w:tab/>
        <w:t xml:space="preserve"> </w:t>
      </w:r>
      <w:r>
        <w:rPr>
          <w:rFonts w:ascii="Arial" w:hAnsi="Arial" w:cs="Arial"/>
          <w:sz w:val="22"/>
        </w:rPr>
        <w:tab/>
        <w:t xml:space="preserve">                                   R1-220</w:t>
      </w:r>
      <w:r>
        <w:rPr>
          <w:rFonts w:ascii="Arial" w:hAnsi="Arial" w:cs="Arial" w:hint="eastAsia"/>
          <w:sz w:val="22"/>
        </w:rPr>
        <w:t>3231</w:t>
      </w:r>
    </w:p>
    <w:p w14:paraId="4BC28F56" w14:textId="77777777" w:rsidR="00A37577" w:rsidRDefault="003D6876">
      <w:pPr>
        <w:pStyle w:val="Proposal"/>
        <w:snapToGrid w:val="0"/>
        <w:ind w:left="1701" w:hanging="1701"/>
        <w:outlineLvl w:val="0"/>
        <w:rPr>
          <w:rFonts w:ascii="Arial" w:hAnsi="Arial" w:cs="Arial"/>
          <w:b w:val="0"/>
          <w:bCs w:val="0"/>
          <w:sz w:val="22"/>
        </w:rPr>
      </w:pPr>
      <w:r>
        <w:rPr>
          <w:rFonts w:ascii="Arial" w:hAnsi="Arial" w:cs="Arial"/>
          <w:sz w:val="22"/>
        </w:rPr>
        <w:t xml:space="preserve">e-Meeting, </w:t>
      </w:r>
      <w:r>
        <w:rPr>
          <w:rFonts w:ascii="Arial" w:hAnsi="Arial" w:cs="Arial" w:hint="eastAsia"/>
          <w:sz w:val="22"/>
        </w:rPr>
        <w:t>May 9</w:t>
      </w:r>
      <w:r>
        <w:rPr>
          <w:rFonts w:ascii="Arial" w:hAnsi="Arial" w:cs="Arial" w:hint="eastAsia"/>
          <w:sz w:val="22"/>
          <w:vertAlign w:val="superscript"/>
        </w:rPr>
        <w:t>th</w:t>
      </w:r>
      <w:r>
        <w:rPr>
          <w:rFonts w:ascii="Arial" w:hAnsi="Arial" w:cs="Arial"/>
          <w:sz w:val="22"/>
        </w:rPr>
        <w:t xml:space="preserve"> –</w:t>
      </w:r>
      <w:r>
        <w:rPr>
          <w:rFonts w:ascii="Arial" w:hAnsi="Arial" w:cs="Arial" w:hint="eastAsia"/>
          <w:sz w:val="22"/>
        </w:rPr>
        <w:t xml:space="preserve"> May 20</w:t>
      </w:r>
      <w:r>
        <w:rPr>
          <w:rFonts w:ascii="Arial" w:hAnsi="Arial" w:cs="Arial" w:hint="eastAsia"/>
          <w:sz w:val="22"/>
          <w:vertAlign w:val="superscript"/>
        </w:rPr>
        <w:t>th</w:t>
      </w:r>
      <w:r>
        <w:rPr>
          <w:rFonts w:ascii="Arial" w:hAnsi="Arial" w:cs="Arial"/>
          <w:sz w:val="22"/>
        </w:rPr>
        <w:t>, 202</w:t>
      </w:r>
      <w:r>
        <w:rPr>
          <w:rFonts w:ascii="Arial" w:hAnsi="Arial" w:cs="Arial" w:hint="eastAsia"/>
          <w:sz w:val="22"/>
        </w:rPr>
        <w:t>2</w:t>
      </w:r>
    </w:p>
    <w:p w14:paraId="0201C18B" w14:textId="77777777" w:rsidR="00A37577" w:rsidRDefault="00A37577">
      <w:pPr>
        <w:pStyle w:val="3GPPHeader"/>
        <w:snapToGrid w:val="0"/>
        <w:rPr>
          <w:rFonts w:cs="Arial"/>
          <w:sz w:val="22"/>
        </w:rPr>
      </w:pPr>
    </w:p>
    <w:p w14:paraId="186AA92C" w14:textId="77777777" w:rsidR="00A37577" w:rsidRDefault="003D6876">
      <w:pPr>
        <w:pStyle w:val="3GPPHeader"/>
        <w:snapToGrid w:val="0"/>
        <w:outlineLvl w:val="0"/>
        <w:rPr>
          <w:rFonts w:cs="Arial"/>
          <w:sz w:val="22"/>
        </w:rPr>
      </w:pPr>
      <w:r>
        <w:rPr>
          <w:rFonts w:cs="Arial"/>
          <w:sz w:val="22"/>
        </w:rPr>
        <w:t>Source:</w:t>
      </w:r>
      <w:r>
        <w:rPr>
          <w:rFonts w:cs="Arial"/>
          <w:sz w:val="22"/>
        </w:rPr>
        <w:tab/>
        <w:t>ZTE</w:t>
      </w:r>
    </w:p>
    <w:p w14:paraId="4EE8AEE3" w14:textId="2778E43C" w:rsidR="00A37577" w:rsidRDefault="003D6876">
      <w:pPr>
        <w:pStyle w:val="3GPPHeader"/>
        <w:snapToGrid w:val="0"/>
        <w:outlineLvl w:val="0"/>
        <w:rPr>
          <w:rFonts w:cs="Arial"/>
          <w:sz w:val="22"/>
        </w:rPr>
      </w:pPr>
      <w:r>
        <w:rPr>
          <w:rFonts w:cs="Arial"/>
          <w:sz w:val="22"/>
        </w:rPr>
        <w:t>Title:</w:t>
      </w:r>
      <w:r>
        <w:rPr>
          <w:rFonts w:cs="Arial"/>
          <w:sz w:val="22"/>
        </w:rPr>
        <w:tab/>
        <w:t xml:space="preserve">Remaining issues </w:t>
      </w:r>
      <w:r w:rsidR="00DA6B17">
        <w:rPr>
          <w:rFonts w:cs="Arial" w:hint="eastAsia"/>
          <w:sz w:val="22"/>
        </w:rPr>
        <w:t>on</w:t>
      </w:r>
      <w:r w:rsidR="00DA6B17">
        <w:rPr>
          <w:rFonts w:cs="Arial"/>
          <w:sz w:val="22"/>
        </w:rPr>
        <w:t xml:space="preserve"> </w:t>
      </w:r>
      <w:r>
        <w:rPr>
          <w:rFonts w:cs="Arial" w:hint="eastAsia"/>
          <w:sz w:val="22"/>
        </w:rPr>
        <w:t>NR-NTN</w:t>
      </w:r>
    </w:p>
    <w:p w14:paraId="4F8A2A42" w14:textId="77777777" w:rsidR="00A37577" w:rsidRDefault="003D6876">
      <w:pPr>
        <w:pStyle w:val="3GPPHeader"/>
        <w:snapToGrid w:val="0"/>
        <w:outlineLvl w:val="0"/>
        <w:rPr>
          <w:rFonts w:cs="Arial"/>
          <w:sz w:val="22"/>
        </w:rPr>
      </w:pPr>
      <w:r>
        <w:rPr>
          <w:rFonts w:cs="Arial"/>
          <w:sz w:val="22"/>
        </w:rPr>
        <w:t>Agenda Item:</w:t>
      </w:r>
      <w:r>
        <w:rPr>
          <w:rFonts w:cs="Arial"/>
          <w:sz w:val="22"/>
        </w:rPr>
        <w:tab/>
        <w:t>8.</w:t>
      </w:r>
      <w:r>
        <w:rPr>
          <w:rFonts w:cs="Arial" w:hint="eastAsia"/>
          <w:sz w:val="22"/>
        </w:rPr>
        <w:t>4</w:t>
      </w:r>
    </w:p>
    <w:p w14:paraId="0284001F" w14:textId="77777777" w:rsidR="00A37577" w:rsidRDefault="003D6876">
      <w:pPr>
        <w:pBdr>
          <w:bottom w:val="single" w:sz="6" w:space="1" w:color="auto"/>
        </w:pBdr>
        <w:snapToGrid w:val="0"/>
        <w:outlineLvl w:val="0"/>
        <w:rPr>
          <w:rFonts w:ascii="Arial" w:hAnsi="Arial"/>
          <w:b/>
        </w:rPr>
      </w:pPr>
      <w:r>
        <w:rPr>
          <w:rFonts w:ascii="Arial" w:hAnsi="Arial"/>
          <w:b/>
        </w:rPr>
        <w:t>Document for:  Discussion</w:t>
      </w:r>
      <w:bookmarkEnd w:id="0"/>
      <w:bookmarkEnd w:id="1"/>
    </w:p>
    <w:p w14:paraId="1D054615" w14:textId="77777777" w:rsidR="00A37577" w:rsidRDefault="003D6876">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6E5E5C89" w14:textId="77777777" w:rsidR="00A37577" w:rsidRDefault="003D6876">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#95e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Pr>
          <w:rFonts w:ascii="Times New Roman" w:hAnsi="Times New Roman" w:hint="eastAsia"/>
          <w:sz w:val="20"/>
          <w:szCs w:val="20"/>
        </w:rPr>
        <w:t xml:space="preserve"> following remaining issues are identified for RAN1, which need to be discussed in maintenance phase.</w:t>
      </w:r>
    </w:p>
    <w:p w14:paraId="3510DA7F" w14:textId="77777777" w:rsidR="00A37577" w:rsidRDefault="003D6876">
      <w:pPr>
        <w:pStyle w:val="ad"/>
        <w:numPr>
          <w:ilvl w:val="0"/>
          <w:numId w:val="5"/>
        </w:numPr>
        <w:spacing w:beforeLines="50" w:before="120" w:afterLines="50" w:after="120" w:line="240" w:lineRule="auto"/>
        <w:ind w:firstLineChars="0"/>
        <w:jc w:val="both"/>
        <w:rPr>
          <w:rFonts w:ascii="Times New Roman" w:hAnsi="Times New Roman"/>
          <w:sz w:val="20"/>
          <w:szCs w:val="20"/>
        </w:rPr>
      </w:pPr>
      <w:r>
        <w:rPr>
          <w:rFonts w:ascii="Times New Roman" w:hAnsi="Times New Roman" w:hint="eastAsia"/>
          <w:sz w:val="20"/>
          <w:szCs w:val="20"/>
        </w:rPr>
        <w:t xml:space="preserve">Details on UE behaviour w.r.t Validity timer expiry </w:t>
      </w:r>
    </w:p>
    <w:p w14:paraId="629B152C" w14:textId="77777777" w:rsidR="00A37577" w:rsidRDefault="003D6876">
      <w:pPr>
        <w:pStyle w:val="ad"/>
        <w:numPr>
          <w:ilvl w:val="0"/>
          <w:numId w:val="5"/>
        </w:numPr>
        <w:spacing w:beforeLines="50" w:before="120" w:afterLines="50" w:after="120" w:line="240" w:lineRule="auto"/>
        <w:ind w:firstLineChars="0"/>
        <w:jc w:val="both"/>
        <w:rPr>
          <w:rFonts w:ascii="Times New Roman" w:hAnsi="Times New Roman"/>
          <w:sz w:val="20"/>
          <w:szCs w:val="20"/>
        </w:rPr>
      </w:pPr>
      <w:r>
        <w:rPr>
          <w:rFonts w:ascii="Times New Roman" w:hAnsi="Times New Roman" w:hint="eastAsia"/>
          <w:sz w:val="20"/>
          <w:szCs w:val="20"/>
        </w:rPr>
        <w:t xml:space="preserve">Support of negative TACommonDriftVariation values for GEO </w:t>
      </w:r>
    </w:p>
    <w:p w14:paraId="72882D6C" w14:textId="77777777" w:rsidR="00A37577" w:rsidRDefault="003D6876">
      <w:pPr>
        <w:pStyle w:val="ad"/>
        <w:numPr>
          <w:ilvl w:val="0"/>
          <w:numId w:val="5"/>
        </w:numPr>
        <w:spacing w:beforeLines="50" w:before="120" w:afterLines="50" w:after="120" w:line="240" w:lineRule="auto"/>
        <w:ind w:firstLineChars="0"/>
        <w:jc w:val="both"/>
        <w:rPr>
          <w:rFonts w:ascii="Times New Roman" w:hAnsi="Times New Roman"/>
          <w:sz w:val="20"/>
          <w:szCs w:val="20"/>
        </w:rPr>
      </w:pPr>
      <w:r>
        <w:rPr>
          <w:rFonts w:ascii="Times New Roman" w:hAnsi="Times New Roman" w:hint="eastAsia"/>
          <w:sz w:val="20"/>
          <w:szCs w:val="20"/>
        </w:rPr>
        <w:t>Resolving the ambiguity in interpretation of SFN indicating Epoch time</w:t>
      </w:r>
    </w:p>
    <w:p w14:paraId="6D436C69" w14:textId="77777777" w:rsidR="00A37577" w:rsidRDefault="003D6876">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above issues </w:t>
      </w:r>
      <w:r>
        <w:rPr>
          <w:rFonts w:ascii="Times New Roman" w:hAnsi="Times New Roman"/>
          <w:sz w:val="20"/>
          <w:szCs w:val="20"/>
        </w:rPr>
        <w:t xml:space="preserve">are elaborated with corresponding analysis. </w:t>
      </w:r>
    </w:p>
    <w:p w14:paraId="4EA2F2CD" w14:textId="77777777" w:rsidR="00A37577" w:rsidRDefault="003D6876">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UE behaviour w.r.t Validity timer expiry</w:t>
      </w:r>
    </w:p>
    <w:p w14:paraId="5C4989A6" w14:textId="77777777" w:rsidR="00A37577" w:rsidRDefault="003D6876">
      <w:pPr>
        <w:pStyle w:val="2"/>
        <w:numPr>
          <w:ilvl w:val="1"/>
          <w:numId w:val="6"/>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Validity time definition</w:t>
      </w:r>
      <w:r>
        <w:rPr>
          <w:rFonts w:ascii="Times New Roman" w:eastAsia="宋体" w:hAnsi="Times New Roman" w:cs="Times New Roman"/>
          <w:sz w:val="24"/>
          <w:szCs w:val="24"/>
          <w:lang w:val="en-US"/>
        </w:rPr>
        <w:t xml:space="preserve"> </w:t>
      </w:r>
    </w:p>
    <w:p w14:paraId="0C3283B8" w14:textId="77777777" w:rsidR="00A37577" w:rsidRDefault="003D687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RAN1#108e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 validity time of common TA and ephemeris was discussed and following two types of definitions are considered.</w:t>
      </w:r>
    </w:p>
    <w:p w14:paraId="08F3D83A" w14:textId="77777777" w:rsidR="00A37577" w:rsidRDefault="003D6876">
      <w:pPr>
        <w:numPr>
          <w:ilvl w:val="0"/>
          <w:numId w:val="7"/>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The epoch time t</w:t>
      </w:r>
      <w:r>
        <w:rPr>
          <w:rFonts w:ascii="Times New Roman" w:eastAsia="宋体" w:hAnsi="Times New Roman" w:cs="Times New Roman" w:hint="eastAsia"/>
          <w:sz w:val="20"/>
          <w:szCs w:val="20"/>
          <w:vertAlign w:val="subscript"/>
        </w:rPr>
        <w:t>epoch</w:t>
      </w:r>
      <w:r>
        <w:rPr>
          <w:rFonts w:ascii="Times New Roman" w:eastAsia="宋体" w:hAnsi="Times New Roman" w:cs="Times New Roman" w:hint="eastAsia"/>
          <w:sz w:val="20"/>
          <w:szCs w:val="20"/>
        </w:rPr>
        <w:t xml:space="preserve"> is the start of validity duration. The UL synchronization is thought kept only in the </w:t>
      </w:r>
      <w:r>
        <w:rPr>
          <w:rFonts w:ascii="Times New Roman" w:eastAsia="宋体" w:hAnsi="Times New Roman" w:cs="Times New Roman"/>
          <w:sz w:val="20"/>
          <w:szCs w:val="20"/>
        </w:rPr>
        <w:t>duration</w:t>
      </w:r>
      <w:r>
        <w:rPr>
          <w:rFonts w:ascii="Times New Roman" w:eastAsia="宋体" w:hAnsi="Times New Roman" w:cs="Times New Roman" w:hint="eastAsia"/>
          <w:sz w:val="20"/>
          <w:szCs w:val="20"/>
        </w:rPr>
        <w:t xml:space="preserve"> </w:t>
      </w:r>
      <m:oMath>
        <m:r>
          <m:rPr>
            <m:sty m:val="p"/>
          </m:rPr>
          <w:rPr>
            <w:rFonts w:ascii="Cambria Math" w:eastAsia="宋体" w:hAnsi="Cambria Math" w:cs="Times New Roman"/>
            <w:sz w:val="20"/>
            <w:szCs w:val="20"/>
          </w:rPr>
          <m:t>0</m:t>
        </m:r>
        <m:r>
          <m:rPr>
            <m:sty m:val="p"/>
          </m:rPr>
          <w:rPr>
            <w:rFonts w:ascii="Cambria Math" w:hAnsi="Cambria Math" w:cs="Times New Roman"/>
            <w:sz w:val="20"/>
            <w:szCs w:val="20"/>
          </w:rPr>
          <m:t>≤t-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epoch</m:t>
            </m:r>
          </m:sub>
        </m:sSub>
        <m:r>
          <m:rPr>
            <m:sty m:val="p"/>
          </m:rPr>
          <w:rPr>
            <w:rFonts w:ascii="Cambria Math" w:hAnsi="Cambria Math" w:cs="Times New Roman"/>
            <w:sz w:val="20"/>
            <w:szCs w:val="20"/>
          </w:rPr>
          <m:t>&lt;∆t</m:t>
        </m:r>
      </m:oMath>
      <w:r>
        <w:rPr>
          <w:rFonts w:ascii="Times New Roman" w:eastAsia="宋体" w:hAnsi="Times New Roman" w:cs="Times New Roman" w:hint="eastAsia"/>
          <w:sz w:val="20"/>
          <w:szCs w:val="20"/>
        </w:rPr>
        <w:t xml:space="preserve">, where </w:t>
      </w:r>
      <m:oMath>
        <m:r>
          <m:rPr>
            <m:sty m:val="p"/>
          </m:rPr>
          <w:rPr>
            <w:rFonts w:ascii="Cambria Math" w:hAnsi="Cambria Math" w:cs="Times New Roman"/>
            <w:sz w:val="20"/>
            <w:szCs w:val="20"/>
          </w:rPr>
          <m:t>∆t</m:t>
        </m:r>
      </m:oMath>
      <w:r>
        <w:rPr>
          <w:rFonts w:ascii="Times New Roman" w:eastAsia="宋体" w:hAnsi="Times New Roman" w:cs="Times New Roman" w:hint="eastAsia"/>
          <w:sz w:val="20"/>
          <w:szCs w:val="20"/>
        </w:rPr>
        <w:t xml:space="preserve"> is the validity duration length.</w:t>
      </w:r>
    </w:p>
    <w:p w14:paraId="423A4C48" w14:textId="77777777" w:rsidR="00A37577" w:rsidRDefault="003D6876">
      <w:pPr>
        <w:numPr>
          <w:ilvl w:val="0"/>
          <w:numId w:val="7"/>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epoch time is the middle point of validity time. The UL synchronization is thought kept in the </w:t>
      </w:r>
      <w:r>
        <w:rPr>
          <w:rFonts w:ascii="Times New Roman" w:eastAsia="宋体" w:hAnsi="Times New Roman" w:cs="Times New Roman"/>
          <w:sz w:val="20"/>
          <w:szCs w:val="20"/>
        </w:rPr>
        <w:t>duration</w:t>
      </w:r>
      <w:r>
        <w:rPr>
          <w:rFonts w:ascii="Times New Roman" w:eastAsia="宋体" w:hAnsi="Times New Roman" w:cs="Times New Roman" w:hint="eastAsia"/>
          <w:sz w:val="20"/>
          <w:szCs w:val="20"/>
        </w:rPr>
        <w:t xml:space="preserve"> </w:t>
      </w:r>
      <m:oMath>
        <m:r>
          <m:rPr>
            <m:sty m:val="p"/>
          </m:rPr>
          <w:rPr>
            <w:rFonts w:ascii="Cambria Math" w:eastAsia="宋体" w:hAnsi="Cambria Math" w:cs="Times New Roman"/>
            <w:sz w:val="20"/>
            <w:szCs w:val="20"/>
          </w:rPr>
          <m:t>0</m:t>
        </m:r>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epoch</m:t>
                </m:r>
              </m:sub>
            </m:sSub>
          </m:e>
        </m:d>
        <m:r>
          <m:rPr>
            <m:sty m:val="p"/>
          </m:rPr>
          <w:rPr>
            <w:rFonts w:ascii="Cambria Math" w:hAnsi="Cambria Math" w:cs="Times New Roman"/>
            <w:sz w:val="20"/>
            <w:szCs w:val="20"/>
          </w:rPr>
          <m:t>&lt;∆t</m:t>
        </m:r>
      </m:oMath>
      <w:r>
        <w:rPr>
          <w:rFonts w:ascii="Times New Roman" w:eastAsia="宋体" w:hAnsi="Times New Roman" w:cs="Times New Roman" w:hint="eastAsia"/>
          <w:sz w:val="20"/>
          <w:szCs w:val="20"/>
        </w:rPr>
        <w:t xml:space="preserve">, where </w:t>
      </w:r>
      <m:oMath>
        <m:r>
          <m:rPr>
            <m:sty m:val="p"/>
          </m:rPr>
          <w:rPr>
            <w:rFonts w:ascii="Cambria Math" w:hAnsi="Cambria Math" w:cs="Times New Roman"/>
            <w:sz w:val="20"/>
            <w:szCs w:val="20"/>
          </w:rPr>
          <m:t>∆t</m:t>
        </m:r>
      </m:oMath>
      <w:r>
        <w:rPr>
          <w:rFonts w:ascii="Times New Roman" w:eastAsia="宋体" w:hAnsi="Times New Roman" w:cs="Times New Roman" w:hint="eastAsia"/>
          <w:sz w:val="20"/>
          <w:szCs w:val="20"/>
        </w:rPr>
        <w:t xml:space="preserve"> is the validity duration length.</w:t>
      </w:r>
    </w:p>
    <w:p w14:paraId="717CD5B4" w14:textId="77777777" w:rsidR="00A37577" w:rsidRDefault="003D687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For definition (1), the backward propagation from epoch time is not considered so that the epoch time should not be set at far future. For definition (2), the epoch time should be at future to enable enough time for backward propagation.</w:t>
      </w:r>
    </w:p>
    <w:p w14:paraId="5D1F55F2" w14:textId="1FE86A4F" w:rsidR="00A37577" w:rsidRDefault="003D687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above two definitions, definition (1) should be adopted if fitting is considered in determination of common TA parameters. In our understanding, the motivation of definition (2) is that the common TA error is assumed to be minimized at epoch time and will increase when a time instant is far from epoch time. From this point of view, backward propagation should have similar validity duration as forward propagation. However, with fitting, the indicated common TA parameters are not exactly equal to the real common TA parameters at </w:t>
      </w:r>
      <w:r>
        <w:rPr>
          <w:rFonts w:ascii="Times New Roman" w:eastAsia="宋体" w:hAnsi="Times New Roman" w:cs="Times New Roman"/>
          <w:sz w:val="20"/>
          <w:szCs w:val="20"/>
        </w:rPr>
        <w:t xml:space="preserve">epoch time. </w:t>
      </w:r>
      <w:r>
        <w:rPr>
          <w:rFonts w:ascii="Times New Roman" w:eastAsia="宋体" w:hAnsi="Times New Roman" w:cs="Times New Roman" w:hint="eastAsia"/>
          <w:sz w:val="20"/>
          <w:szCs w:val="20"/>
        </w:rPr>
        <w:t xml:space="preserve">The residual TA error is not minimized at middle point of validity time and will not monotonously increase when the time instant is far from the middle point. Therefore, there is no benefit to define the epoch time as the middle point of the validity time. For example, consider the case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_Ref23714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the common TA, common TA drift rate, and common TA drift rate variation are obtained by fitting the real common TA curve in [0 s, 30 s] to reduce the residual error (i.e., extend the validity duration). With the obtained common TA parameters, the approximated common TA calculated at UE is evaluated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_Ref10484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hAnsi="Times New Roman" w:cs="Times New Roman"/>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p>
    <w:p w14:paraId="13A3BDE4" w14:textId="77777777" w:rsidR="00A37577" w:rsidRDefault="003D6876">
      <w:pPr>
        <w:pStyle w:val="a3"/>
        <w:numPr>
          <w:ilvl w:val="7"/>
          <w:numId w:val="0"/>
        </w:numPr>
        <w:ind w:leftChars="200" w:left="440"/>
        <w:rPr>
          <w:b w:val="0"/>
          <w:bCs w:val="0"/>
          <w:kern w:val="0"/>
          <w:lang w:val="en-US"/>
        </w:rPr>
      </w:pPr>
      <w:bookmarkStart w:id="3" w:name="_Ref23714"/>
      <w:r>
        <w:rPr>
          <w:rFonts w:hint="eastAsia"/>
          <w:b w:val="0"/>
          <w:bCs w:val="0"/>
          <w:kern w:val="0"/>
          <w:lang w:val="en-US"/>
        </w:rPr>
        <w:t xml:space="preserve">Table </w:t>
      </w:r>
      <w:r>
        <w:rPr>
          <w:rFonts w:hint="eastAsia"/>
          <w:b w:val="0"/>
          <w:bCs w:val="0"/>
          <w:kern w:val="0"/>
          <w:lang w:val="en-US"/>
        </w:rPr>
        <w:fldChar w:fldCharType="begin"/>
      </w:r>
      <w:r>
        <w:rPr>
          <w:rFonts w:hint="eastAsia"/>
          <w:b w:val="0"/>
          <w:bCs w:val="0"/>
          <w:kern w:val="0"/>
          <w:lang w:val="en-US"/>
        </w:rPr>
        <w:instrText xml:space="preserve"> SEQ Table \* ARABIC </w:instrText>
      </w:r>
      <w:r>
        <w:rPr>
          <w:rFonts w:hint="eastAsia"/>
          <w:b w:val="0"/>
          <w:bCs w:val="0"/>
          <w:kern w:val="0"/>
          <w:lang w:val="en-US"/>
        </w:rPr>
        <w:fldChar w:fldCharType="separate"/>
      </w:r>
      <w:r>
        <w:rPr>
          <w:rFonts w:hint="eastAsia"/>
          <w:b w:val="0"/>
          <w:bCs w:val="0"/>
          <w:kern w:val="0"/>
          <w:lang w:val="en-US"/>
        </w:rPr>
        <w:t>1</w:t>
      </w:r>
      <w:r>
        <w:rPr>
          <w:rFonts w:hint="eastAsia"/>
          <w:b w:val="0"/>
          <w:bCs w:val="0"/>
          <w:kern w:val="0"/>
          <w:lang w:val="en-US"/>
        </w:rPr>
        <w:fldChar w:fldCharType="end"/>
      </w:r>
      <w:bookmarkEnd w:id="3"/>
      <w:r>
        <w:rPr>
          <w:rFonts w:hint="eastAsia"/>
          <w:b w:val="0"/>
          <w:bCs w:val="0"/>
          <w:kern w:val="0"/>
          <w:lang w:val="en-US"/>
        </w:rPr>
        <w:t xml:space="preserve"> Parameters for evaluation</w:t>
      </w:r>
    </w:p>
    <w:tbl>
      <w:tblPr>
        <w:tblStyle w:val="aa"/>
        <w:tblW w:w="0" w:type="auto"/>
        <w:jc w:val="center"/>
        <w:tblLook w:val="04A0" w:firstRow="1" w:lastRow="0" w:firstColumn="1" w:lastColumn="0" w:noHBand="0" w:noVBand="1"/>
      </w:tblPr>
      <w:tblGrid>
        <w:gridCol w:w="3795"/>
        <w:gridCol w:w="3795"/>
      </w:tblGrid>
      <w:tr w:rsidR="00A37577" w14:paraId="561C844F" w14:textId="77777777">
        <w:trPr>
          <w:jc w:val="center"/>
        </w:trPr>
        <w:tc>
          <w:tcPr>
            <w:tcW w:w="3795" w:type="dxa"/>
          </w:tcPr>
          <w:p w14:paraId="0BB89432" w14:textId="77777777" w:rsidR="00A37577" w:rsidRDefault="003D6876">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Parameter</w:t>
            </w:r>
          </w:p>
        </w:tc>
        <w:tc>
          <w:tcPr>
            <w:tcW w:w="3795" w:type="dxa"/>
          </w:tcPr>
          <w:p w14:paraId="4319F6C4" w14:textId="77777777" w:rsidR="00A37577" w:rsidRDefault="003D6876">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Value</w:t>
            </w:r>
          </w:p>
        </w:tc>
      </w:tr>
      <w:tr w:rsidR="00A37577" w14:paraId="24477420" w14:textId="77777777">
        <w:trPr>
          <w:jc w:val="center"/>
        </w:trPr>
        <w:tc>
          <w:tcPr>
            <w:tcW w:w="3795" w:type="dxa"/>
          </w:tcPr>
          <w:p w14:paraId="1F0CB300" w14:textId="77777777" w:rsidR="00A37577" w:rsidRDefault="003D6876">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Orbit</w:t>
            </w:r>
          </w:p>
        </w:tc>
        <w:tc>
          <w:tcPr>
            <w:tcW w:w="3795" w:type="dxa"/>
          </w:tcPr>
          <w:p w14:paraId="453BDAD8" w14:textId="77777777" w:rsidR="00A37577" w:rsidRDefault="003D6876">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LEO-600</w:t>
            </w:r>
          </w:p>
        </w:tc>
      </w:tr>
      <w:tr w:rsidR="00A37577" w14:paraId="59CA11B4" w14:textId="77777777">
        <w:trPr>
          <w:jc w:val="center"/>
        </w:trPr>
        <w:tc>
          <w:tcPr>
            <w:tcW w:w="3795" w:type="dxa"/>
          </w:tcPr>
          <w:p w14:paraId="643EB96D" w14:textId="77777777" w:rsidR="00A37577" w:rsidRDefault="003D6876">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Initial satellite position</w:t>
            </w:r>
          </w:p>
        </w:tc>
        <w:tc>
          <w:tcPr>
            <w:tcW w:w="3795" w:type="dxa"/>
          </w:tcPr>
          <w:p w14:paraId="555C8794" w14:textId="77777777" w:rsidR="00A37577" w:rsidRDefault="003D6876">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Above Gateway</w:t>
            </w:r>
          </w:p>
        </w:tc>
      </w:tr>
      <w:tr w:rsidR="00A37577" w14:paraId="67D5EE31" w14:textId="77777777">
        <w:trPr>
          <w:jc w:val="center"/>
        </w:trPr>
        <w:tc>
          <w:tcPr>
            <w:tcW w:w="3795" w:type="dxa"/>
          </w:tcPr>
          <w:p w14:paraId="38161788" w14:textId="77777777" w:rsidR="00A37577" w:rsidRDefault="003D6876">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Time period for common TA fitting</w:t>
            </w:r>
          </w:p>
        </w:tc>
        <w:tc>
          <w:tcPr>
            <w:tcW w:w="3795" w:type="dxa"/>
          </w:tcPr>
          <w:p w14:paraId="4291A0E3" w14:textId="77777777" w:rsidR="00A37577" w:rsidRDefault="003D6876">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[0, 30] s</w:t>
            </w:r>
          </w:p>
        </w:tc>
      </w:tr>
      <w:tr w:rsidR="00A37577" w14:paraId="093AC788" w14:textId="77777777">
        <w:trPr>
          <w:jc w:val="center"/>
        </w:trPr>
        <w:tc>
          <w:tcPr>
            <w:tcW w:w="3795" w:type="dxa"/>
          </w:tcPr>
          <w:p w14:paraId="151FC3D1" w14:textId="77777777" w:rsidR="00A37577" w:rsidRDefault="003D6876">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Fitting method</w:t>
            </w:r>
          </w:p>
        </w:tc>
        <w:tc>
          <w:tcPr>
            <w:tcW w:w="3795" w:type="dxa"/>
          </w:tcPr>
          <w:p w14:paraId="7EA7DF9F" w14:textId="77777777" w:rsidR="00A37577" w:rsidRDefault="003D6876">
            <w:pPr>
              <w:numPr>
                <w:ilvl w:val="7"/>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Least square fitting</w:t>
            </w:r>
          </w:p>
        </w:tc>
      </w:tr>
    </w:tbl>
    <w:p w14:paraId="2F056E1F" w14:textId="77777777" w:rsidR="00A37577" w:rsidRDefault="00A37577">
      <w:pPr>
        <w:numPr>
          <w:ilvl w:val="7"/>
          <w:numId w:val="0"/>
        </w:numPr>
        <w:spacing w:after="120"/>
        <w:ind w:leftChars="200" w:left="440"/>
        <w:rPr>
          <w:rFonts w:ascii="Times New Roman" w:eastAsia="宋体" w:hAnsi="Times New Roman" w:cs="Times New Roman"/>
          <w:sz w:val="20"/>
          <w:szCs w:val="20"/>
        </w:rPr>
      </w:pPr>
    </w:p>
    <w:p w14:paraId="7E5E5A33" w14:textId="77777777" w:rsidR="00A37577" w:rsidRDefault="00A37577">
      <w:pPr>
        <w:numPr>
          <w:ilvl w:val="7"/>
          <w:numId w:val="0"/>
        </w:numPr>
        <w:spacing w:after="120"/>
        <w:ind w:leftChars="200" w:left="440"/>
        <w:rPr>
          <w:rFonts w:ascii="Times New Roman" w:eastAsia="宋体" w:hAnsi="Times New Roman" w:cs="Times New Roman"/>
          <w:sz w:val="20"/>
          <w:szCs w:val="20"/>
        </w:rPr>
      </w:pPr>
    </w:p>
    <w:p w14:paraId="04B7468D" w14:textId="77777777" w:rsidR="00A37577" w:rsidRDefault="003D687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noProof/>
          <w:sz w:val="20"/>
          <w:szCs w:val="20"/>
        </w:rPr>
        <w:drawing>
          <wp:inline distT="0" distB="0" distL="114300" distR="114300">
            <wp:extent cx="2774315" cy="2080895"/>
            <wp:effectExtent l="0" t="0" r="14605" b="6985"/>
            <wp:docPr id="4" name="图片 4" descr="curvecompari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rvecomparison"/>
                    <pic:cNvPicPr>
                      <a:picLocks noChangeAspect="1"/>
                    </pic:cNvPicPr>
                  </pic:nvPicPr>
                  <pic:blipFill>
                    <a:blip r:embed="rId9"/>
                    <a:stretch>
                      <a:fillRect/>
                    </a:stretch>
                  </pic:blipFill>
                  <pic:spPr>
                    <a:xfrm>
                      <a:off x="0" y="0"/>
                      <a:ext cx="2774315" cy="2080895"/>
                    </a:xfrm>
                    <a:prstGeom prst="rect">
                      <a:avLst/>
                    </a:prstGeom>
                  </pic:spPr>
                </pic:pic>
              </a:graphicData>
            </a:graphic>
          </wp:inline>
        </w:drawing>
      </w:r>
      <w:r>
        <w:rPr>
          <w:rFonts w:ascii="Times New Roman" w:eastAsia="宋体" w:hAnsi="Times New Roman" w:cs="Times New Roman" w:hint="eastAsia"/>
          <w:noProof/>
          <w:sz w:val="20"/>
          <w:szCs w:val="20"/>
        </w:rPr>
        <w:drawing>
          <wp:inline distT="0" distB="0" distL="114300" distR="114300">
            <wp:extent cx="2809875" cy="2107565"/>
            <wp:effectExtent l="0" t="0" r="9525" b="10795"/>
            <wp:docPr id="1" name="图片 1" descr="residual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residualerror"/>
                    <pic:cNvPicPr>
                      <a:picLocks noChangeAspect="1"/>
                    </pic:cNvPicPr>
                  </pic:nvPicPr>
                  <pic:blipFill>
                    <a:blip r:embed="rId10"/>
                    <a:stretch>
                      <a:fillRect/>
                    </a:stretch>
                  </pic:blipFill>
                  <pic:spPr>
                    <a:xfrm>
                      <a:off x="0" y="0"/>
                      <a:ext cx="2809875" cy="2107565"/>
                    </a:xfrm>
                    <a:prstGeom prst="rect">
                      <a:avLst/>
                    </a:prstGeom>
                  </pic:spPr>
                </pic:pic>
              </a:graphicData>
            </a:graphic>
          </wp:inline>
        </w:drawing>
      </w:r>
    </w:p>
    <w:p w14:paraId="061A319E" w14:textId="77777777" w:rsidR="00A37577" w:rsidRDefault="003D6876">
      <w:pPr>
        <w:numPr>
          <w:ilvl w:val="0"/>
          <w:numId w:val="8"/>
        </w:numPr>
        <w:tabs>
          <w:tab w:val="left" w:pos="2609"/>
        </w:tabs>
        <w:adjustRightInd w:val="0"/>
        <w:snapToGrid w:val="0"/>
        <w:spacing w:beforeLines="50" w:before="120" w:afterLines="50" w:after="120"/>
        <w:ind w:leftChars="200" w:left="440"/>
        <w:jc w:val="center"/>
        <w:rPr>
          <w:rFonts w:ascii="Times New Roman" w:hAnsi="Times New Roman" w:cs="Times New Roman"/>
          <w:sz w:val="20"/>
          <w:szCs w:val="20"/>
        </w:rPr>
      </w:pPr>
      <w:bookmarkStart w:id="4" w:name="_Ref10484"/>
      <w:r>
        <w:rPr>
          <w:rFonts w:ascii="Times New Roman" w:hAnsi="Times New Roman" w:cs="Times New Roman" w:hint="eastAsia"/>
          <w:sz w:val="20"/>
          <w:szCs w:val="20"/>
        </w:rPr>
        <w:t>Real and approximated common TA           (b) Residual error of approximated common TA</w:t>
      </w:r>
    </w:p>
    <w:p w14:paraId="35EE3C30" w14:textId="77777777" w:rsidR="00A37577" w:rsidRDefault="003D6876">
      <w:pPr>
        <w:tabs>
          <w:tab w:val="left" w:pos="2609"/>
        </w:tabs>
        <w:adjustRightInd w:val="0"/>
        <w:snapToGrid w:val="0"/>
        <w:spacing w:beforeLines="50" w:before="120" w:afterLines="50" w:after="120"/>
        <w:ind w:leftChars="200" w:left="440"/>
        <w:jc w:val="center"/>
        <w:rPr>
          <w:rFonts w:ascii="Times New Roman" w:hAnsi="Times New Roman" w:cs="Times New Roman"/>
          <w:sz w:val="20"/>
          <w:szCs w:val="20"/>
        </w:rPr>
      </w:pPr>
      <w:bookmarkStart w:id="5" w:name="_Ref11006"/>
      <w:r>
        <w:rPr>
          <w:rFonts w:ascii="Times New Roman" w:hAnsi="Times New Roman" w:cs="Times New Roman"/>
          <w:sz w:val="20"/>
          <w:szCs w:val="20"/>
        </w:rPr>
        <w:t xml:space="preserve">Figure </w:t>
      </w:r>
      <w:r>
        <w:rPr>
          <w:rFonts w:ascii="Times New Roman" w:hAnsi="Times New Roman" w:cs="Times New Roman"/>
          <w:b/>
          <w:bCs/>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b/>
          <w:bCs/>
          <w:sz w:val="20"/>
          <w:szCs w:val="20"/>
        </w:rPr>
        <w:fldChar w:fldCharType="separate"/>
      </w:r>
      <w:r>
        <w:rPr>
          <w:rFonts w:ascii="Times New Roman" w:hAnsi="Times New Roman" w:cs="Times New Roman"/>
          <w:sz w:val="20"/>
          <w:szCs w:val="20"/>
        </w:rPr>
        <w:t>1</w:t>
      </w:r>
      <w:r>
        <w:rPr>
          <w:rFonts w:ascii="Times New Roman" w:hAnsi="Times New Roman" w:cs="Times New Roman"/>
          <w:b/>
          <w:bCs/>
          <w:sz w:val="20"/>
          <w:szCs w:val="20"/>
        </w:rPr>
        <w:fldChar w:fldCharType="end"/>
      </w:r>
      <w:bookmarkEnd w:id="4"/>
      <w:bookmarkEnd w:id="5"/>
      <w:r>
        <w:rPr>
          <w:rFonts w:ascii="Times New Roman" w:hAnsi="Times New Roman" w:cs="Times New Roman"/>
          <w:sz w:val="20"/>
          <w:szCs w:val="20"/>
        </w:rPr>
        <w:t xml:space="preserve"> </w:t>
      </w:r>
      <w:r>
        <w:rPr>
          <w:rFonts w:ascii="Times New Roman" w:hAnsi="Times New Roman" w:cs="Times New Roman" w:hint="eastAsia"/>
          <w:sz w:val="20"/>
          <w:szCs w:val="20"/>
        </w:rPr>
        <w:t>Evaluation of common TA fitting</w:t>
      </w:r>
    </w:p>
    <w:p w14:paraId="0F87C359" w14:textId="77777777" w:rsidR="00A37577" w:rsidRDefault="003D687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From the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_Ref11006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hAnsi="Times New Roman" w:cs="Times New Roman"/>
          <w:sz w:val="20"/>
          <w:szCs w:val="20"/>
        </w:rPr>
        <w:t>Figure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it can be easily found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that </w:t>
      </w:r>
      <w:r>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fitted common TA parameters are not equal to the real ones at t=0. Therefore, the validity of common TA parameters cannot be guaranteed for backward propagation from t=0. In this case, the definition (1) should be adopted. Of course, one may argue that the epoch time can be set at middle point of fitting time period (i.e., t=15 in above case) to enable the definition (2), where forward and backward propagation can have same validity duration length. However, because of SFN wrap around, the epoch time cannot be set at a time that is 10.24 s far from the reception time. That is, the validity duration for backward propagation is at most 10.24 s. If the total validity time is longer than 20.48 s (e.g., 30 s in above case), setting the epoch time at the middle point will reduce the overall validity duration (e.g., reduced to 25.24s in above case). Overall, the epoch time should be set as the start of validity time period at least with consideration of following aspect:</w:t>
      </w:r>
    </w:p>
    <w:p w14:paraId="665DF2DD" w14:textId="77777777" w:rsidR="00A37577" w:rsidRDefault="003D6876">
      <w:pPr>
        <w:numPr>
          <w:ilvl w:val="0"/>
          <w:numId w:val="9"/>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When curve fitting is adopted to extend validity duration of common TA, the validity of backward propagation cannot be guaranteed.</w:t>
      </w:r>
    </w:p>
    <w:p w14:paraId="3D3AF7B4" w14:textId="77777777" w:rsidR="00A37577" w:rsidRDefault="003D6876">
      <w:pPr>
        <w:numPr>
          <w:ilvl w:val="0"/>
          <w:numId w:val="9"/>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validity duration of backward propagation is limited by SFN wrap around. </w:t>
      </w:r>
    </w:p>
    <w:p w14:paraId="1A3D920E" w14:textId="77777777" w:rsidR="00A37577" w:rsidRDefault="003D6876">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 </w:t>
      </w:r>
      <w:r>
        <w:rPr>
          <w:rFonts w:ascii="Times New Roman" w:hAnsi="Times New Roman" w:cs="Times New Roman" w:hint="eastAsia"/>
          <w:i/>
          <w:sz w:val="20"/>
          <w:szCs w:val="20"/>
        </w:rPr>
        <w:t>The epoch time t</w:t>
      </w:r>
      <w:r>
        <w:rPr>
          <w:rFonts w:ascii="Times New Roman" w:hAnsi="Times New Roman" w:cs="Times New Roman" w:hint="eastAsia"/>
          <w:i/>
          <w:sz w:val="20"/>
          <w:szCs w:val="20"/>
          <w:vertAlign w:val="subscript"/>
        </w:rPr>
        <w:t>epoch</w:t>
      </w:r>
      <w:r>
        <w:rPr>
          <w:rFonts w:ascii="Times New Roman" w:hAnsi="Times New Roman" w:cs="Times New Roman" w:hint="eastAsia"/>
          <w:i/>
          <w:sz w:val="20"/>
          <w:szCs w:val="20"/>
        </w:rPr>
        <w:t xml:space="preserve"> should be set as the start of validity time period. The UL synchronization is thought kept only in the time period </w:t>
      </w:r>
      <m:oMath>
        <m:r>
          <w:rPr>
            <w:rFonts w:ascii="Cambria Math" w:hAnsi="Cambria Math" w:cs="Times New Roman"/>
            <w:sz w:val="20"/>
            <w:szCs w:val="20"/>
          </w:rPr>
          <m:t>0</m:t>
        </m:r>
        <m:r>
          <w:rPr>
            <w:rFonts w:ascii="Cambria Math" w:hAnsi="Cambria Math" w:cs="Times New Roman" w:hint="eastAsia"/>
            <w:sz w:val="20"/>
            <w:szCs w:val="20"/>
          </w:rPr>
          <m:t>≤</m:t>
        </m:r>
        <m:r>
          <w:rPr>
            <w:rFonts w:ascii="Cambria Math" w:hAnsi="Cambria Math" w:cs="Times New Roman"/>
            <w:sz w:val="20"/>
            <w:szCs w:val="20"/>
          </w:rPr>
          <m:t>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epoch</m:t>
            </m:r>
          </m:sub>
        </m:sSub>
        <m:r>
          <w:rPr>
            <w:rFonts w:ascii="Cambria Math" w:hAnsi="Cambria Math" w:cs="Times New Roman"/>
            <w:sz w:val="20"/>
            <w:szCs w:val="20"/>
          </w:rPr>
          <m:t>&lt;</m:t>
        </m:r>
        <m:r>
          <w:rPr>
            <w:rFonts w:ascii="Cambria Math" w:hAnsi="Cambria Math" w:cs="Times New Roman" w:hint="eastAsia"/>
            <w:sz w:val="20"/>
            <w:szCs w:val="20"/>
          </w:rPr>
          <m:t>∆</m:t>
        </m:r>
        <m:r>
          <w:rPr>
            <w:rFonts w:ascii="Cambria Math" w:hAnsi="Cambria Math" w:cs="Times New Roman"/>
            <w:sz w:val="20"/>
            <w:szCs w:val="20"/>
          </w:rPr>
          <m:t>t</m:t>
        </m:r>
      </m:oMath>
      <w:r>
        <w:rPr>
          <w:rFonts w:ascii="Times New Roman" w:hAnsi="Times New Roman" w:cs="Times New Roman" w:hint="eastAsia"/>
          <w:i/>
          <w:sz w:val="20"/>
          <w:szCs w:val="20"/>
        </w:rPr>
        <w:t xml:space="preserve">, where </w:t>
      </w:r>
      <m:oMath>
        <m:r>
          <w:rPr>
            <w:rFonts w:ascii="Cambria Math" w:hAnsi="Cambria Math" w:cs="Times New Roman" w:hint="eastAsia"/>
            <w:sz w:val="20"/>
            <w:szCs w:val="20"/>
          </w:rPr>
          <m:t>∆</m:t>
        </m:r>
        <m:r>
          <w:rPr>
            <w:rFonts w:ascii="Cambria Math" w:hAnsi="Cambria Math" w:cs="Times New Roman"/>
            <w:sz w:val="20"/>
            <w:szCs w:val="20"/>
          </w:rPr>
          <m:t>t</m:t>
        </m:r>
      </m:oMath>
      <w:r>
        <w:rPr>
          <w:rFonts w:ascii="Times New Roman" w:hAnsi="Times New Roman" w:cs="Times New Roman" w:hint="eastAsia"/>
          <w:i/>
          <w:sz w:val="20"/>
          <w:szCs w:val="20"/>
        </w:rPr>
        <w:t xml:space="preserve"> is the validity duration length.</w:t>
      </w:r>
    </w:p>
    <w:p w14:paraId="704549DA" w14:textId="77777777" w:rsidR="00A37577" w:rsidRDefault="003D6876">
      <w:pPr>
        <w:pStyle w:val="2"/>
        <w:numPr>
          <w:ilvl w:val="1"/>
          <w:numId w:val="6"/>
        </w:numPr>
        <w:rPr>
          <w:rFonts w:ascii="Times New Roman" w:eastAsia="宋体" w:hAnsi="Times New Roman" w:cs="Times New Roman"/>
          <w:sz w:val="20"/>
          <w:szCs w:val="20"/>
          <w:lang w:val="en-US"/>
        </w:rPr>
      </w:pPr>
      <w:r>
        <w:rPr>
          <w:rFonts w:ascii="Times New Roman" w:eastAsia="宋体" w:hAnsi="Times New Roman" w:cs="Times New Roman" w:hint="eastAsia"/>
          <w:sz w:val="24"/>
          <w:szCs w:val="24"/>
          <w:lang w:val="en-US"/>
        </w:rPr>
        <w:t>UE behavior</w:t>
      </w:r>
      <w:r>
        <w:rPr>
          <w:rFonts w:ascii="Times New Roman" w:eastAsia="宋体" w:hAnsi="Times New Roman" w:cs="Times New Roman"/>
          <w:sz w:val="24"/>
          <w:szCs w:val="24"/>
          <w:lang w:val="en-US"/>
        </w:rPr>
        <w:t xml:space="preserve"> </w:t>
      </w:r>
    </w:p>
    <w:p w14:paraId="2D2F23E3" w14:textId="77777777" w:rsidR="00A37577" w:rsidRDefault="003D687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Since the epoch time is the start of validity time period and no backward propagation is guaranteed, UL synchronization cannot be ensured between expiry of previous validity timer and new epoch time even if the new assistance information has already been received before the expiry. Hence, there is no need to define the new behaviour of suspending validity timer when new assistance information is received, which introduced to maintain UL synchronization before new epoch time. And the epoch time should not be set at far future. </w:t>
      </w:r>
    </w:p>
    <w:p w14:paraId="04808054" w14:textId="77777777" w:rsidR="00A37577" w:rsidRDefault="003D687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Based on above analysis, the legacy UE behaviors are enough, i.e., the validity timer start/restart at epoch time and UL synchronization is thought lost when validity timer is expired. And UE shall apply new assistance information after epoch time. It is up to UE implementation to re-acquire and apply new assistance information before expiry of UL validity timer.</w:t>
      </w:r>
    </w:p>
    <w:p w14:paraId="50C7C738" w14:textId="77777777" w:rsidR="00A37577" w:rsidRDefault="003D6876">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 </w:t>
      </w:r>
      <w:r>
        <w:rPr>
          <w:rFonts w:ascii="Times New Roman" w:hAnsi="Times New Roman" w:cs="Times New Roman" w:hint="eastAsia"/>
          <w:i/>
          <w:sz w:val="20"/>
          <w:szCs w:val="20"/>
        </w:rPr>
        <w:t>UL synchronization should not be maintained after validity timer expiry.</w:t>
      </w:r>
    </w:p>
    <w:p w14:paraId="1B328BBC" w14:textId="77777777" w:rsidR="00A37577" w:rsidRDefault="003D6876">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lastRenderedPageBreak/>
        <w:t>Proposal</w:t>
      </w:r>
      <w:r>
        <w:rPr>
          <w:rFonts w:ascii="Times New Roman" w:eastAsia="宋体" w:hAnsi="Times New Roman" w:hint="eastAsia"/>
          <w:b/>
          <w:i/>
          <w:sz w:val="20"/>
          <w:szCs w:val="20"/>
        </w:rPr>
        <w:t xml:space="preserve"> 3: </w:t>
      </w:r>
      <w:r>
        <w:rPr>
          <w:rFonts w:ascii="Times New Roman" w:hAnsi="Times New Roman" w:cs="Times New Roman" w:hint="eastAsia"/>
          <w:i/>
          <w:sz w:val="20"/>
          <w:szCs w:val="20"/>
        </w:rPr>
        <w:t>The UE shall re-acquire and apply new assistance information before expiry of UL validity timer.</w:t>
      </w:r>
    </w:p>
    <w:p w14:paraId="7D275D58" w14:textId="77777777" w:rsidR="00A37577" w:rsidRDefault="003D6876">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Negative TACommonDriftVariation values for GEO</w:t>
      </w:r>
    </w:p>
    <w:p w14:paraId="0A5D54F6" w14:textId="5E75D63E" w:rsidR="00930C7F" w:rsidRDefault="003D6876" w:rsidP="004255BF">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GEO scenario,</w:t>
      </w:r>
      <w:r w:rsidR="00930C7F">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UEs can be served by the same satellite for a long time</w:t>
      </w:r>
      <w:r w:rsidR="00930C7F">
        <w:rPr>
          <w:rFonts w:ascii="Times New Roman" w:eastAsia="宋体" w:hAnsi="Times New Roman" w:cs="Times New Roman"/>
          <w:sz w:val="20"/>
          <w:szCs w:val="20"/>
        </w:rPr>
        <w:t xml:space="preserve">, which may require </w:t>
      </w:r>
      <w:r>
        <w:rPr>
          <w:rFonts w:ascii="Times New Roman" w:eastAsia="宋体" w:hAnsi="Times New Roman" w:cs="Times New Roman" w:hint="eastAsia"/>
          <w:sz w:val="20"/>
          <w:szCs w:val="20"/>
        </w:rPr>
        <w:t xml:space="preserve">longer validity duration </w:t>
      </w:r>
      <w:r w:rsidR="00930C7F">
        <w:rPr>
          <w:rFonts w:ascii="Times New Roman" w:eastAsia="宋体" w:hAnsi="Times New Roman" w:cs="Times New Roman"/>
          <w:sz w:val="20"/>
          <w:szCs w:val="20"/>
        </w:rPr>
        <w:t>of SI to minimize the overhead for SI update</w:t>
      </w:r>
      <w:r>
        <w:rPr>
          <w:rFonts w:ascii="Times New Roman" w:eastAsia="宋体" w:hAnsi="Times New Roman" w:cs="Times New Roman" w:hint="eastAsia"/>
          <w:sz w:val="20"/>
          <w:szCs w:val="20"/>
        </w:rPr>
        <w:t xml:space="preserve">. Therefore, </w:t>
      </w:r>
      <w:r w:rsidR="00930C7F">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 xml:space="preserve">long validity duration, </w:t>
      </w:r>
      <w:r w:rsidR="00930C7F">
        <w:rPr>
          <w:rFonts w:ascii="Times New Roman" w:eastAsia="宋体" w:hAnsi="Times New Roman" w:cs="Times New Roman"/>
          <w:sz w:val="20"/>
          <w:szCs w:val="20"/>
        </w:rPr>
        <w:t>i.e.,</w:t>
      </w:r>
      <w:r>
        <w:rPr>
          <w:rFonts w:ascii="Times New Roman" w:eastAsia="宋体" w:hAnsi="Times New Roman" w:cs="Times New Roman" w:hint="eastAsia"/>
          <w:sz w:val="20"/>
          <w:szCs w:val="20"/>
        </w:rPr>
        <w:t xml:space="preserve"> 900s</w:t>
      </w:r>
      <w:r w:rsidR="00930C7F">
        <w:rPr>
          <w:rFonts w:ascii="Times New Roman" w:eastAsia="宋体" w:hAnsi="Times New Roman" w:cs="Times New Roman"/>
          <w:sz w:val="20"/>
          <w:szCs w:val="20"/>
        </w:rPr>
        <w:t xml:space="preserve"> as agreed in previous meeting is needed.</w:t>
      </w:r>
      <w:r w:rsidR="00930C7F">
        <w:rPr>
          <w:rFonts w:ascii="Times New Roman" w:eastAsia="宋体" w:hAnsi="Times New Roman" w:cs="Times New Roman" w:hint="eastAsia"/>
          <w:sz w:val="20"/>
          <w:szCs w:val="20"/>
        </w:rPr>
        <w:t xml:space="preserve"> </w:t>
      </w:r>
      <w:r w:rsidR="00930C7F">
        <w:rPr>
          <w:rFonts w:ascii="Times New Roman" w:eastAsia="宋体" w:hAnsi="Times New Roman" w:cs="Times New Roman"/>
          <w:sz w:val="20"/>
          <w:szCs w:val="20"/>
        </w:rPr>
        <w:t xml:space="preserve">Meanwhile, </w:t>
      </w:r>
      <w:r w:rsidR="00860DB0">
        <w:rPr>
          <w:rFonts w:ascii="Times New Roman" w:eastAsia="宋体" w:hAnsi="Times New Roman" w:cs="Times New Roman"/>
          <w:sz w:val="20"/>
          <w:szCs w:val="20"/>
        </w:rPr>
        <w:t>during the long period of satellite’s movement</w:t>
      </w:r>
      <w:r w:rsidR="00930C7F">
        <w:rPr>
          <w:rFonts w:ascii="Times New Roman" w:eastAsia="宋体" w:hAnsi="Times New Roman" w:cs="Times New Roman"/>
          <w:sz w:val="20"/>
          <w:szCs w:val="20"/>
        </w:rPr>
        <w:t>,</w:t>
      </w:r>
      <w:r w:rsidR="00930C7F">
        <w:rPr>
          <w:rFonts w:ascii="Times New Roman" w:eastAsia="宋体" w:hAnsi="Times New Roman" w:cs="Times New Roman" w:hint="eastAsia"/>
          <w:sz w:val="20"/>
          <w:szCs w:val="20"/>
        </w:rPr>
        <w:t xml:space="preserve"> the satellite may experience figure 8 motion if the orbit inclination is nonzero as shown in </w:t>
      </w:r>
      <w:r w:rsidR="00930C7F">
        <w:rPr>
          <w:rFonts w:ascii="Times New Roman" w:eastAsia="宋体" w:hAnsi="Times New Roman" w:cs="Times New Roman" w:hint="eastAsia"/>
          <w:sz w:val="20"/>
          <w:szCs w:val="20"/>
        </w:rPr>
        <w:fldChar w:fldCharType="begin"/>
      </w:r>
      <w:r w:rsidR="00930C7F">
        <w:rPr>
          <w:rFonts w:ascii="Times New Roman" w:eastAsia="宋体" w:hAnsi="Times New Roman" w:cs="Times New Roman" w:hint="eastAsia"/>
          <w:sz w:val="20"/>
          <w:szCs w:val="20"/>
        </w:rPr>
        <w:instrText xml:space="preserve"> REF _Ref25167 \h </w:instrText>
      </w:r>
      <w:r w:rsidR="00930C7F">
        <w:rPr>
          <w:rFonts w:ascii="Times New Roman" w:eastAsia="宋体" w:hAnsi="Times New Roman" w:cs="Times New Roman" w:hint="eastAsia"/>
          <w:sz w:val="20"/>
          <w:szCs w:val="20"/>
        </w:rPr>
      </w:r>
      <w:r w:rsidR="00930C7F">
        <w:rPr>
          <w:rFonts w:ascii="Times New Roman" w:eastAsia="宋体" w:hAnsi="Times New Roman" w:cs="Times New Roman" w:hint="eastAsia"/>
          <w:sz w:val="20"/>
          <w:szCs w:val="20"/>
        </w:rPr>
        <w:fldChar w:fldCharType="separate"/>
      </w:r>
      <w:r w:rsidR="00930C7F">
        <w:rPr>
          <w:rFonts w:ascii="Times New Roman" w:hAnsi="Times New Roman" w:cs="Times New Roman"/>
          <w:sz w:val="20"/>
          <w:szCs w:val="20"/>
        </w:rPr>
        <w:t>Figure 2</w:t>
      </w:r>
      <w:r w:rsidR="00930C7F">
        <w:rPr>
          <w:rFonts w:ascii="Times New Roman" w:eastAsia="宋体" w:hAnsi="Times New Roman" w:cs="Times New Roman" w:hint="eastAsia"/>
          <w:sz w:val="20"/>
          <w:szCs w:val="20"/>
        </w:rPr>
        <w:fldChar w:fldCharType="end"/>
      </w:r>
      <w:r w:rsidR="00930C7F">
        <w:rPr>
          <w:rFonts w:ascii="Times New Roman" w:eastAsia="宋体" w:hAnsi="Times New Roman" w:cs="Times New Roman" w:hint="eastAsia"/>
          <w:sz w:val="20"/>
          <w:szCs w:val="20"/>
        </w:rPr>
        <w:t>. As a result, there could be negative TACommonDriftVariation values. However, in current agreement, only positive TACommonDriftVariation is defined. If the value range of TACommonDriftVariation is not extended to include negative values, the validity duration of common TA may be much shorter since only linear propagation is ensured.</w:t>
      </w:r>
    </w:p>
    <w:p w14:paraId="3087B17D" w14:textId="77777777" w:rsidR="00A37577" w:rsidRDefault="003D6876" w:rsidP="004255BF">
      <w:pPr>
        <w:jc w:val="center"/>
      </w:pPr>
      <w:r>
        <w:rPr>
          <w:noProof/>
        </w:rPr>
        <w:drawing>
          <wp:inline distT="0" distB="0" distL="114300" distR="114300" wp14:editId="3B12C325">
            <wp:extent cx="2164776" cy="1623702"/>
            <wp:effectExtent l="0" t="0" r="6985" b="0"/>
            <wp:docPr id="12" name="图片 12" descr="GEOor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GEOorbit"/>
                    <pic:cNvPicPr>
                      <a:picLocks noChangeAspect="1"/>
                    </pic:cNvPicPr>
                  </pic:nvPicPr>
                  <pic:blipFill>
                    <a:blip r:embed="rId11"/>
                    <a:stretch>
                      <a:fillRect/>
                    </a:stretch>
                  </pic:blipFill>
                  <pic:spPr>
                    <a:xfrm>
                      <a:off x="0" y="0"/>
                      <a:ext cx="2177825" cy="1633490"/>
                    </a:xfrm>
                    <a:prstGeom prst="rect">
                      <a:avLst/>
                    </a:prstGeom>
                  </pic:spPr>
                </pic:pic>
              </a:graphicData>
            </a:graphic>
          </wp:inline>
        </w:drawing>
      </w:r>
      <w:r>
        <w:rPr>
          <w:noProof/>
        </w:rPr>
        <w:drawing>
          <wp:inline distT="0" distB="0" distL="114300" distR="114300" wp14:editId="6F72943D">
            <wp:extent cx="2139950" cy="1604963"/>
            <wp:effectExtent l="0" t="0" r="0" b="0"/>
            <wp:docPr id="11" name="图片 11" descr="figur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igure8"/>
                    <pic:cNvPicPr>
                      <a:picLocks noChangeAspect="1"/>
                    </pic:cNvPicPr>
                  </pic:nvPicPr>
                  <pic:blipFill>
                    <a:blip r:embed="rId12"/>
                    <a:stretch>
                      <a:fillRect/>
                    </a:stretch>
                  </pic:blipFill>
                  <pic:spPr>
                    <a:xfrm>
                      <a:off x="0" y="0"/>
                      <a:ext cx="2142360" cy="1606770"/>
                    </a:xfrm>
                    <a:prstGeom prst="rect">
                      <a:avLst/>
                    </a:prstGeom>
                  </pic:spPr>
                </pic:pic>
              </a:graphicData>
            </a:graphic>
          </wp:inline>
        </w:drawing>
      </w:r>
    </w:p>
    <w:p w14:paraId="60B0C639" w14:textId="77777777" w:rsidR="00A37577" w:rsidRDefault="003D6876" w:rsidP="004255BF">
      <w:pPr>
        <w:numPr>
          <w:ilvl w:val="0"/>
          <w:numId w:val="10"/>
        </w:numPr>
        <w:tabs>
          <w:tab w:val="left" w:pos="2609"/>
        </w:tabs>
        <w:adjustRightInd w:val="0"/>
        <w:snapToGrid w:val="0"/>
        <w:spacing w:beforeLines="50" w:before="120" w:afterLines="50" w:after="120"/>
        <w:ind w:leftChars="200" w:left="440"/>
        <w:jc w:val="center"/>
        <w:rPr>
          <w:rFonts w:ascii="Times New Roman" w:hAnsi="Times New Roman" w:cs="Times New Roman"/>
          <w:sz w:val="20"/>
          <w:szCs w:val="20"/>
        </w:rPr>
      </w:pPr>
      <w:r>
        <w:rPr>
          <w:rFonts w:ascii="Times New Roman" w:hAnsi="Times New Roman" w:cs="Times New Roman" w:hint="eastAsia"/>
          <w:sz w:val="20"/>
          <w:szCs w:val="20"/>
        </w:rPr>
        <w:t>GEO with and without inclination           (b) Trajectory of GEO with inclination in ECI</w:t>
      </w:r>
    </w:p>
    <w:p w14:paraId="78B17349" w14:textId="77777777" w:rsidR="00A37577" w:rsidRDefault="003D6876">
      <w:pPr>
        <w:tabs>
          <w:tab w:val="left" w:pos="2609"/>
        </w:tabs>
        <w:adjustRightInd w:val="0"/>
        <w:snapToGrid w:val="0"/>
        <w:spacing w:beforeLines="50" w:before="120" w:afterLines="50" w:after="120"/>
        <w:ind w:leftChars="200" w:left="440"/>
        <w:jc w:val="center"/>
        <w:rPr>
          <w:rFonts w:ascii="Times New Roman" w:hAnsi="Times New Roman" w:cs="Times New Roman"/>
          <w:sz w:val="20"/>
          <w:szCs w:val="20"/>
        </w:rPr>
      </w:pPr>
      <w:bookmarkStart w:id="6" w:name="_Ref25167"/>
      <w:r>
        <w:rPr>
          <w:rFonts w:ascii="Times New Roman" w:hAnsi="Times New Roman" w:cs="Times New Roman"/>
          <w:sz w:val="20"/>
          <w:szCs w:val="20"/>
        </w:rPr>
        <w:t xml:space="preserve">Figure </w:t>
      </w:r>
      <w:r>
        <w:rPr>
          <w:rFonts w:ascii="Times New Roman" w:hAnsi="Times New Roman" w:cs="Times New Roman"/>
          <w:b/>
          <w:bCs/>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b/>
          <w:bCs/>
          <w:sz w:val="20"/>
          <w:szCs w:val="20"/>
        </w:rPr>
        <w:fldChar w:fldCharType="separate"/>
      </w:r>
      <w:r>
        <w:rPr>
          <w:rFonts w:ascii="Times New Roman" w:hAnsi="Times New Roman" w:cs="Times New Roman"/>
          <w:sz w:val="20"/>
          <w:szCs w:val="20"/>
        </w:rPr>
        <w:t>2</w:t>
      </w:r>
      <w:r>
        <w:rPr>
          <w:rFonts w:ascii="Times New Roman" w:hAnsi="Times New Roman" w:cs="Times New Roman"/>
          <w:b/>
          <w:bCs/>
          <w:sz w:val="20"/>
          <w:szCs w:val="20"/>
        </w:rPr>
        <w:fldChar w:fldCharType="end"/>
      </w:r>
      <w:bookmarkEnd w:id="6"/>
      <w:r>
        <w:rPr>
          <w:rFonts w:ascii="Times New Roman" w:hAnsi="Times New Roman" w:cs="Times New Roman"/>
          <w:sz w:val="20"/>
          <w:szCs w:val="20"/>
        </w:rPr>
        <w:t xml:space="preserve"> </w:t>
      </w:r>
      <w:r>
        <w:rPr>
          <w:rFonts w:ascii="Times New Roman" w:hAnsi="Times New Roman" w:cs="Times New Roman" w:hint="eastAsia"/>
          <w:sz w:val="20"/>
          <w:szCs w:val="20"/>
        </w:rPr>
        <w:t>Illustration of figure 8 motion</w:t>
      </w:r>
    </w:p>
    <w:p w14:paraId="4AA0BE04" w14:textId="6594A954" w:rsidR="00A37577" w:rsidRDefault="0019167B" w:rsidP="004255BF">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For example, w</w:t>
      </w:r>
      <w:r w:rsidR="003D6876">
        <w:rPr>
          <w:rFonts w:ascii="Times New Roman" w:eastAsia="宋体" w:hAnsi="Times New Roman" w:cs="Times New Roman" w:hint="eastAsia"/>
          <w:sz w:val="20"/>
          <w:szCs w:val="20"/>
        </w:rPr>
        <w:t xml:space="preserve">hen the inclination angle is 36 degree, the maximum Doppler is about 0.94 ppm, which aligns the 0.93 ppm defined in TR 38.821 Table 4.2-2 </w:t>
      </w:r>
      <w:r w:rsidR="003D6876">
        <w:rPr>
          <w:rFonts w:ascii="Times New Roman" w:eastAsia="宋体" w:hAnsi="Times New Roman" w:cs="Times New Roman" w:hint="eastAsia"/>
          <w:sz w:val="20"/>
          <w:szCs w:val="20"/>
        </w:rPr>
        <w:fldChar w:fldCharType="begin"/>
      </w:r>
      <w:r w:rsidR="003D6876">
        <w:rPr>
          <w:rFonts w:ascii="Times New Roman" w:eastAsia="宋体" w:hAnsi="Times New Roman" w:cs="Times New Roman" w:hint="eastAsia"/>
          <w:sz w:val="20"/>
          <w:szCs w:val="20"/>
        </w:rPr>
        <w:instrText xml:space="preserve"> REF _Ref25987 \n \h </w:instrText>
      </w:r>
      <w:r w:rsidR="003D6876">
        <w:rPr>
          <w:rFonts w:ascii="Times New Roman" w:eastAsia="宋体" w:hAnsi="Times New Roman" w:cs="Times New Roman" w:hint="eastAsia"/>
          <w:sz w:val="20"/>
          <w:szCs w:val="20"/>
        </w:rPr>
      </w:r>
      <w:r w:rsidR="003D6876">
        <w:rPr>
          <w:rFonts w:ascii="Times New Roman" w:eastAsia="宋体" w:hAnsi="Times New Roman" w:cs="Times New Roman" w:hint="eastAsia"/>
          <w:sz w:val="20"/>
          <w:szCs w:val="20"/>
        </w:rPr>
        <w:fldChar w:fldCharType="separate"/>
      </w:r>
      <w:r w:rsidR="003D6876">
        <w:rPr>
          <w:rFonts w:ascii="Times New Roman" w:eastAsia="宋体" w:hAnsi="Times New Roman" w:cs="Times New Roman" w:hint="eastAsia"/>
          <w:sz w:val="20"/>
          <w:szCs w:val="20"/>
        </w:rPr>
        <w:t>[3]</w:t>
      </w:r>
      <w:r w:rsidR="003D6876">
        <w:rPr>
          <w:rFonts w:ascii="Times New Roman" w:eastAsia="宋体" w:hAnsi="Times New Roman" w:cs="Times New Roman" w:hint="eastAsia"/>
          <w:sz w:val="20"/>
          <w:szCs w:val="20"/>
        </w:rPr>
        <w:fldChar w:fldCharType="end"/>
      </w:r>
      <w:r w:rsidR="003D6876">
        <w:rPr>
          <w:rFonts w:ascii="Times New Roman" w:eastAsia="宋体" w:hAnsi="Times New Roman" w:cs="Times New Roman" w:hint="eastAsia"/>
          <w:sz w:val="20"/>
          <w:szCs w:val="20"/>
        </w:rPr>
        <w:t>. In this case, by assuming the GEO satellite fly over the equator at 0 degree longitude and the NTN-GW locates at (70</w:t>
      </w:r>
      <w:r w:rsidR="003D6876">
        <w:rPr>
          <w:rFonts w:ascii="Times New Roman" w:eastAsia="宋体" w:hAnsi="Times New Roman" w:cs="Times New Roman" w:hint="eastAsia"/>
          <w:sz w:val="20"/>
          <w:szCs w:val="20"/>
        </w:rPr>
        <w:t>°</w:t>
      </w:r>
      <w:r w:rsidR="003D6876">
        <w:rPr>
          <w:rFonts w:ascii="Times New Roman" w:eastAsia="宋体" w:hAnsi="Times New Roman" w:cs="Times New Roman" w:hint="eastAsia"/>
          <w:sz w:val="20"/>
          <w:szCs w:val="20"/>
        </w:rPr>
        <w:t>N, 0</w:t>
      </w:r>
      <w:r w:rsidR="003D6876">
        <w:rPr>
          <w:rFonts w:ascii="Times New Roman" w:eastAsia="宋体" w:hAnsi="Times New Roman" w:cs="Times New Roman" w:hint="eastAsia"/>
          <w:sz w:val="20"/>
          <w:szCs w:val="20"/>
        </w:rPr>
        <w:t>°</w:t>
      </w:r>
      <w:r w:rsidR="003D6876">
        <w:rPr>
          <w:rFonts w:ascii="Times New Roman" w:eastAsia="宋体" w:hAnsi="Times New Roman" w:cs="Times New Roman" w:hint="eastAsia"/>
          <w:sz w:val="20"/>
          <w:szCs w:val="20"/>
        </w:rPr>
        <w:t xml:space="preserve">), the common TA residual error with different indication period is simulated as shown in </w:t>
      </w:r>
      <w:r w:rsidR="003D6876">
        <w:rPr>
          <w:rFonts w:ascii="Times New Roman" w:eastAsia="宋体" w:hAnsi="Times New Roman" w:cs="Times New Roman" w:hint="eastAsia"/>
          <w:sz w:val="20"/>
          <w:szCs w:val="20"/>
        </w:rPr>
        <w:fldChar w:fldCharType="begin"/>
      </w:r>
      <w:r w:rsidR="003D6876">
        <w:rPr>
          <w:rFonts w:ascii="Times New Roman" w:eastAsia="宋体" w:hAnsi="Times New Roman" w:cs="Times New Roman" w:hint="eastAsia"/>
          <w:sz w:val="20"/>
          <w:szCs w:val="20"/>
        </w:rPr>
        <w:instrText xml:space="preserve"> REF _Ref19526 \h </w:instrText>
      </w:r>
      <w:r w:rsidR="003D6876">
        <w:rPr>
          <w:rFonts w:ascii="Times New Roman" w:eastAsia="宋体" w:hAnsi="Times New Roman" w:cs="Times New Roman" w:hint="eastAsia"/>
          <w:sz w:val="20"/>
          <w:szCs w:val="20"/>
        </w:rPr>
      </w:r>
      <w:r w:rsidR="003D6876">
        <w:rPr>
          <w:rFonts w:ascii="Times New Roman" w:eastAsia="宋体" w:hAnsi="Times New Roman" w:cs="Times New Roman" w:hint="eastAsia"/>
          <w:sz w:val="20"/>
          <w:szCs w:val="20"/>
        </w:rPr>
        <w:fldChar w:fldCharType="separate"/>
      </w:r>
      <w:r w:rsidR="003D6876">
        <w:rPr>
          <w:rFonts w:ascii="Times New Roman" w:hAnsi="Times New Roman" w:cs="Times New Roman"/>
          <w:sz w:val="20"/>
          <w:szCs w:val="20"/>
        </w:rPr>
        <w:t>Figure 3</w:t>
      </w:r>
      <w:r w:rsidR="003D6876">
        <w:rPr>
          <w:rFonts w:ascii="Times New Roman" w:eastAsia="宋体" w:hAnsi="Times New Roman" w:cs="Times New Roman" w:hint="eastAsia"/>
          <w:sz w:val="20"/>
          <w:szCs w:val="20"/>
        </w:rPr>
        <w:fldChar w:fldCharType="end"/>
      </w:r>
      <w:r w:rsidR="003D6876">
        <w:rPr>
          <w:rFonts w:ascii="Times New Roman" w:eastAsia="宋体" w:hAnsi="Times New Roman" w:cs="Times New Roman" w:hint="eastAsia"/>
          <w:sz w:val="20"/>
          <w:szCs w:val="20"/>
        </w:rPr>
        <w:t>. From the figure, it can be observed that TACommonDriftVariation is necessary to ensure the validity duration of common TA can be up to 900s. Hence, negative TACommonDriftVariation values should be supported. And a simple method is to add an additional bit for TACommonDriftVariation to extend its value range to include negative values.</w:t>
      </w:r>
    </w:p>
    <w:p w14:paraId="74CD00D0" w14:textId="77777777" w:rsidR="00A37577" w:rsidRDefault="003D6876">
      <w:pPr>
        <w:jc w:val="center"/>
      </w:pPr>
      <w:r>
        <w:rPr>
          <w:rFonts w:hint="eastAsia"/>
          <w:noProof/>
        </w:rPr>
        <w:drawing>
          <wp:inline distT="0" distB="0" distL="114300" distR="114300" wp14:editId="37B48E6D">
            <wp:extent cx="2556933" cy="1917700"/>
            <wp:effectExtent l="0" t="0" r="0" b="6350"/>
            <wp:docPr id="16" name="图片 16" descr="GEOcommonTAerror7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GEOcommonTAerror71d"/>
                    <pic:cNvPicPr>
                      <a:picLocks noChangeAspect="1"/>
                    </pic:cNvPicPr>
                  </pic:nvPicPr>
                  <pic:blipFill>
                    <a:blip r:embed="rId13"/>
                    <a:stretch>
                      <a:fillRect/>
                    </a:stretch>
                  </pic:blipFill>
                  <pic:spPr>
                    <a:xfrm>
                      <a:off x="0" y="0"/>
                      <a:ext cx="2563142" cy="1922357"/>
                    </a:xfrm>
                    <a:prstGeom prst="rect">
                      <a:avLst/>
                    </a:prstGeom>
                  </pic:spPr>
                </pic:pic>
              </a:graphicData>
            </a:graphic>
          </wp:inline>
        </w:drawing>
      </w:r>
    </w:p>
    <w:p w14:paraId="77A51522" w14:textId="77777777" w:rsidR="00A37577" w:rsidRDefault="003D6876">
      <w:pPr>
        <w:tabs>
          <w:tab w:val="left" w:pos="2609"/>
        </w:tabs>
        <w:adjustRightInd w:val="0"/>
        <w:snapToGrid w:val="0"/>
        <w:spacing w:beforeLines="50" w:before="120" w:afterLines="50" w:after="120"/>
        <w:ind w:leftChars="200" w:left="440"/>
        <w:jc w:val="center"/>
        <w:rPr>
          <w:rFonts w:ascii="Times New Roman" w:hAnsi="Times New Roman" w:cs="Times New Roman"/>
          <w:sz w:val="20"/>
          <w:szCs w:val="20"/>
        </w:rPr>
      </w:pPr>
      <w:bookmarkStart w:id="7" w:name="_Ref19526"/>
      <w:bookmarkStart w:id="8" w:name="_Ref27482"/>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bookmarkEnd w:id="7"/>
      <w:r>
        <w:rPr>
          <w:rFonts w:ascii="Times New Roman" w:hAnsi="Times New Roman" w:cs="Times New Roman" w:hint="eastAsia"/>
          <w:sz w:val="20"/>
          <w:szCs w:val="20"/>
        </w:rPr>
        <w:t xml:space="preserve"> Evaluation of common TA residual error</w:t>
      </w:r>
      <w:bookmarkEnd w:id="8"/>
    </w:p>
    <w:p w14:paraId="1328B702" w14:textId="77777777" w:rsidR="00A37577" w:rsidRDefault="003D6876">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4: </w:t>
      </w:r>
      <w:r>
        <w:rPr>
          <w:rFonts w:ascii="Times New Roman" w:hAnsi="Times New Roman" w:cs="Times New Roman" w:hint="eastAsia"/>
          <w:i/>
          <w:sz w:val="20"/>
          <w:szCs w:val="20"/>
        </w:rPr>
        <w:t>Negative TACommonDriftVariation values should be supported to handle the figure 8 motion in GEO.</w:t>
      </w:r>
    </w:p>
    <w:p w14:paraId="1C0192BB" w14:textId="77777777" w:rsidR="00A37577" w:rsidRDefault="003D6876">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Interpretation of SFN indicating Epoch time</w:t>
      </w:r>
      <w:bookmarkStart w:id="9" w:name="_GoBack"/>
      <w:bookmarkEnd w:id="9"/>
    </w:p>
    <w:p w14:paraId="11EBA34A" w14:textId="77777777" w:rsidR="00A37577" w:rsidRDefault="003D6876">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As discussed in previous section, the epoch time should be set as the start of whole validity time period with consideration of common TA curve fitting. That is, backward propagation from epoch time cannot be guaranteed. Therefore, the epoch time should be set at the reception time of assistance information or near future to avoid loss of UL synchronization. In such case, the legacy approach for SIB9 can be reused, i.e., interpreting the subframe indicated by SFN and subframe number as the nearest one to the subframe where the message indicating epoch time is received. With this interpretation, the network can either set the epoch time at past to ensure the UL synchronization is not lost, or set the epoch time at near future to fully utilize the validity duration.</w:t>
      </w:r>
    </w:p>
    <w:p w14:paraId="17E3FA05" w14:textId="77777777" w:rsidR="00A37577" w:rsidRDefault="003D6876">
      <w:pPr>
        <w:numPr>
          <w:ilvl w:val="7"/>
          <w:numId w:val="0"/>
        </w:numPr>
        <w:spacing w:after="120"/>
        <w:ind w:leftChars="200" w:left="440"/>
        <w:rPr>
          <w:rFonts w:ascii="Times New Roman" w:eastAsia="宋体" w:hAnsi="Times New Roman" w:cs="Times New Roman"/>
          <w:sz w:val="20"/>
          <w:szCs w:val="20"/>
        </w:rPr>
      </w:pPr>
      <w:r>
        <w:rPr>
          <w:rFonts w:ascii="Times New Roman" w:hAnsi="Times New Roman" w:cs="Times New Roman" w:hint="eastAsia"/>
          <w:b/>
          <w:i/>
          <w:sz w:val="20"/>
          <w:szCs w:val="20"/>
        </w:rPr>
        <w:t xml:space="preserve">Proposal 5: </w:t>
      </w:r>
      <w:r>
        <w:rPr>
          <w:rFonts w:ascii="Times New Roman" w:hAnsi="Times New Roman" w:hint="eastAsia"/>
          <w:i/>
          <w:iCs/>
          <w:sz w:val="20"/>
          <w:szCs w:val="20"/>
        </w:rPr>
        <w:t>If indicated explicitly by a SFN and subframe number, the Epoch time t_epoch is the sub-frame which is nearest to the sub-frame where the message indicating the Epoch time is received.</w:t>
      </w:r>
    </w:p>
    <w:p w14:paraId="1FFB44C5" w14:textId="77777777" w:rsidR="00A37577" w:rsidRDefault="003D6876">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058A00D4" w14:textId="77777777" w:rsidR="00A37577" w:rsidRDefault="003D6876">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eastAsia="宋体" w:hAnsi="Times New Roman" w:cs="Times New Roman" w:hint="eastAsia"/>
          <w:sz w:val="20"/>
          <w:szCs w:val="20"/>
        </w:rPr>
        <w:t xml:space="preserve">remaining </w:t>
      </w:r>
      <w:r>
        <w:rPr>
          <w:rFonts w:ascii="Times New Roman" w:eastAsia="宋体" w:hAnsi="Times New Roman" w:cs="Times New Roman"/>
          <w:sz w:val="20"/>
          <w:szCs w:val="20"/>
        </w:rPr>
        <w:t>issues for NTN is conducted with following proposals and observations:</w:t>
      </w:r>
    </w:p>
    <w:p w14:paraId="1A4E6E87" w14:textId="77777777" w:rsidR="00A37577" w:rsidRDefault="003D6876">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 </w:t>
      </w:r>
      <w:r>
        <w:rPr>
          <w:rFonts w:ascii="Times New Roman" w:hAnsi="Times New Roman" w:cs="Times New Roman" w:hint="eastAsia"/>
          <w:i/>
          <w:sz w:val="20"/>
          <w:szCs w:val="20"/>
        </w:rPr>
        <w:t>The epoch time t</w:t>
      </w:r>
      <w:r>
        <w:rPr>
          <w:rFonts w:ascii="Times New Roman" w:hAnsi="Times New Roman" w:cs="Times New Roman" w:hint="eastAsia"/>
          <w:i/>
          <w:sz w:val="20"/>
          <w:szCs w:val="20"/>
          <w:vertAlign w:val="subscript"/>
        </w:rPr>
        <w:t>epoch</w:t>
      </w:r>
      <w:r>
        <w:rPr>
          <w:rFonts w:ascii="Times New Roman" w:hAnsi="Times New Roman" w:cs="Times New Roman" w:hint="eastAsia"/>
          <w:i/>
          <w:sz w:val="20"/>
          <w:szCs w:val="20"/>
        </w:rPr>
        <w:t xml:space="preserve"> should be set as the start of validity time period. The UL synchronization is thought kept only in the time period </w:t>
      </w:r>
      <m:oMath>
        <m:r>
          <w:rPr>
            <w:rFonts w:ascii="Cambria Math" w:hAnsi="Cambria Math" w:cs="Times New Roman"/>
            <w:sz w:val="20"/>
            <w:szCs w:val="20"/>
          </w:rPr>
          <m:t>0</m:t>
        </m:r>
        <m:r>
          <w:rPr>
            <w:rFonts w:ascii="Cambria Math" w:hAnsi="Cambria Math" w:cs="Times New Roman" w:hint="eastAsia"/>
            <w:sz w:val="20"/>
            <w:szCs w:val="20"/>
          </w:rPr>
          <m:t>≤</m:t>
        </m:r>
        <m:r>
          <w:rPr>
            <w:rFonts w:ascii="Cambria Math" w:hAnsi="Cambria Math" w:cs="Times New Roman"/>
            <w:sz w:val="20"/>
            <w:szCs w:val="20"/>
          </w:rPr>
          <m:t>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epoch</m:t>
            </m:r>
          </m:sub>
        </m:sSub>
        <m:r>
          <w:rPr>
            <w:rFonts w:ascii="Cambria Math" w:hAnsi="Cambria Math" w:cs="Times New Roman"/>
            <w:sz w:val="20"/>
            <w:szCs w:val="20"/>
          </w:rPr>
          <m:t>&lt;</m:t>
        </m:r>
        <m:r>
          <w:rPr>
            <w:rFonts w:ascii="Cambria Math" w:hAnsi="Cambria Math" w:cs="Times New Roman" w:hint="eastAsia"/>
            <w:sz w:val="20"/>
            <w:szCs w:val="20"/>
          </w:rPr>
          <m:t>∆</m:t>
        </m:r>
        <m:r>
          <w:rPr>
            <w:rFonts w:ascii="Cambria Math" w:hAnsi="Cambria Math" w:cs="Times New Roman"/>
            <w:sz w:val="20"/>
            <w:szCs w:val="20"/>
          </w:rPr>
          <m:t>t</m:t>
        </m:r>
      </m:oMath>
      <w:r>
        <w:rPr>
          <w:rFonts w:ascii="Times New Roman" w:hAnsi="Times New Roman" w:cs="Times New Roman" w:hint="eastAsia"/>
          <w:i/>
          <w:sz w:val="20"/>
          <w:szCs w:val="20"/>
        </w:rPr>
        <w:t xml:space="preserve">, where </w:t>
      </w:r>
      <m:oMath>
        <m:r>
          <w:rPr>
            <w:rFonts w:ascii="Cambria Math" w:hAnsi="Cambria Math" w:cs="Times New Roman" w:hint="eastAsia"/>
            <w:sz w:val="20"/>
            <w:szCs w:val="20"/>
          </w:rPr>
          <m:t>∆</m:t>
        </m:r>
        <m:r>
          <w:rPr>
            <w:rFonts w:ascii="Cambria Math" w:hAnsi="Cambria Math" w:cs="Times New Roman"/>
            <w:sz w:val="20"/>
            <w:szCs w:val="20"/>
          </w:rPr>
          <m:t>t</m:t>
        </m:r>
      </m:oMath>
      <w:r>
        <w:rPr>
          <w:rFonts w:ascii="Times New Roman" w:hAnsi="Times New Roman" w:cs="Times New Roman" w:hint="eastAsia"/>
          <w:i/>
          <w:sz w:val="20"/>
          <w:szCs w:val="20"/>
        </w:rPr>
        <w:t xml:space="preserve"> is the validity duration length.</w:t>
      </w:r>
    </w:p>
    <w:p w14:paraId="1F0426F8" w14:textId="77777777" w:rsidR="00A37577" w:rsidRDefault="003D6876">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 </w:t>
      </w:r>
      <w:r>
        <w:rPr>
          <w:rFonts w:ascii="Times New Roman" w:hAnsi="Times New Roman" w:cs="Times New Roman" w:hint="eastAsia"/>
          <w:i/>
          <w:sz w:val="20"/>
          <w:szCs w:val="20"/>
        </w:rPr>
        <w:t>UL synchronization should not be maintained after validity timer expiry.</w:t>
      </w:r>
    </w:p>
    <w:p w14:paraId="7D57C1E5" w14:textId="77777777" w:rsidR="00A37577" w:rsidRDefault="003D6876">
      <w:pPr>
        <w:numPr>
          <w:ilvl w:val="3"/>
          <w:numId w:val="0"/>
        </w:num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3: </w:t>
      </w:r>
      <w:r>
        <w:rPr>
          <w:rFonts w:ascii="Times New Roman" w:hAnsi="Times New Roman" w:cs="Times New Roman" w:hint="eastAsia"/>
          <w:i/>
          <w:sz w:val="20"/>
          <w:szCs w:val="20"/>
        </w:rPr>
        <w:t>The UE shall re-acquire and apply new assistance information before expiry of UL validity timer.</w:t>
      </w:r>
    </w:p>
    <w:p w14:paraId="2AB66B2C" w14:textId="77777777" w:rsidR="00A37577" w:rsidRDefault="003D6876">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4: </w:t>
      </w:r>
      <w:r>
        <w:rPr>
          <w:rFonts w:ascii="Times New Roman" w:hAnsi="Times New Roman" w:cs="Times New Roman" w:hint="eastAsia"/>
          <w:i/>
          <w:sz w:val="20"/>
          <w:szCs w:val="20"/>
        </w:rPr>
        <w:t>Negative TACommonDriftVariation values should be supported to handle the figure 8 motion in GEO.</w:t>
      </w:r>
    </w:p>
    <w:p w14:paraId="333A4FED" w14:textId="77777777" w:rsidR="00A37577" w:rsidRDefault="003D6876">
      <w:pPr>
        <w:numPr>
          <w:ilvl w:val="7"/>
          <w:numId w:val="0"/>
        </w:numPr>
        <w:spacing w:after="120"/>
        <w:ind w:leftChars="200" w:left="440"/>
        <w:rPr>
          <w:rFonts w:ascii="Times New Roman" w:hAnsi="Times New Roman" w:cs="Times New Roman"/>
          <w:i/>
          <w:sz w:val="20"/>
          <w:szCs w:val="20"/>
        </w:rPr>
      </w:pPr>
      <w:r>
        <w:rPr>
          <w:rFonts w:ascii="Times New Roman" w:hAnsi="Times New Roman" w:cs="Times New Roman" w:hint="eastAsia"/>
          <w:b/>
          <w:i/>
          <w:sz w:val="20"/>
          <w:szCs w:val="20"/>
        </w:rPr>
        <w:t xml:space="preserve">Proposal 5: </w:t>
      </w:r>
      <w:r>
        <w:rPr>
          <w:rFonts w:ascii="Times New Roman" w:hAnsi="Times New Roman" w:hint="eastAsia"/>
          <w:i/>
          <w:iCs/>
          <w:sz w:val="20"/>
          <w:szCs w:val="20"/>
        </w:rPr>
        <w:t>If indicated explicitly by a SFN and subframe number, the Epoch time t_epoch is the sub-frame which is nearest to the sub-frame where the message indicating the Epoch time is received.</w:t>
      </w:r>
    </w:p>
    <w:p w14:paraId="5F1901E0" w14:textId="77777777" w:rsidR="00A37577" w:rsidRDefault="003D6876">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5D69D2DA" w14:textId="77777777" w:rsidR="00A37577" w:rsidRDefault="003D6876">
      <w:pPr>
        <w:pStyle w:val="ListParagraph1"/>
        <w:numPr>
          <w:ilvl w:val="0"/>
          <w:numId w:val="11"/>
        </w:numPr>
        <w:spacing w:after="0" w:line="240" w:lineRule="auto"/>
        <w:ind w:left="505" w:hanging="505"/>
        <w:rPr>
          <w:rFonts w:ascii="Times New Roman" w:hAnsi="Times New Roman"/>
          <w:sz w:val="20"/>
          <w:szCs w:val="20"/>
        </w:rPr>
      </w:pPr>
      <w:bookmarkStart w:id="10" w:name="_Ref40282619"/>
      <w:r>
        <w:rPr>
          <w:rFonts w:ascii="Times New Roman" w:hAnsi="Times New Roman" w:hint="eastAsia"/>
          <w:sz w:val="20"/>
          <w:szCs w:val="20"/>
        </w:rPr>
        <w:t>RP-220952 SR WID NR-NTN solution for RAN95-e,</w:t>
      </w:r>
      <w:r>
        <w:rPr>
          <w:rFonts w:ascii="Times New Roman" w:hAnsi="Times New Roman"/>
          <w:sz w:val="20"/>
          <w:szCs w:val="20"/>
        </w:rPr>
        <w:t xml:space="preserve"> RAN#</w:t>
      </w:r>
      <w:bookmarkEnd w:id="10"/>
      <w:r>
        <w:rPr>
          <w:rFonts w:ascii="Times New Roman" w:hAnsi="Times New Roman" w:hint="eastAsia"/>
          <w:sz w:val="20"/>
          <w:szCs w:val="20"/>
        </w:rPr>
        <w:t>95e</w:t>
      </w:r>
    </w:p>
    <w:p w14:paraId="3FCAE54A" w14:textId="77777777" w:rsidR="00A37577" w:rsidRDefault="003D6876">
      <w:pPr>
        <w:pStyle w:val="ListParagraph1"/>
        <w:numPr>
          <w:ilvl w:val="0"/>
          <w:numId w:val="11"/>
        </w:numPr>
        <w:spacing w:after="0" w:line="240" w:lineRule="auto"/>
        <w:ind w:left="505" w:hanging="505"/>
        <w:rPr>
          <w:rFonts w:ascii="Times New Roman" w:hAnsi="Times New Roman"/>
          <w:sz w:val="20"/>
          <w:szCs w:val="20"/>
        </w:rPr>
      </w:pPr>
      <w:bookmarkStart w:id="11" w:name="_Ref32552"/>
      <w:r>
        <w:rPr>
          <w:rFonts w:ascii="Times New Roman" w:hAnsi="Times New Roman" w:hint="eastAsia"/>
          <w:sz w:val="20"/>
          <w:szCs w:val="20"/>
        </w:rPr>
        <w:t>R1-2202908 FL Summary #4: Maintenance on UL time and frequency synchronization for NR NTN,</w:t>
      </w:r>
      <w:r>
        <w:rPr>
          <w:rFonts w:ascii="Times New Roman" w:hAnsi="Times New Roman"/>
          <w:sz w:val="20"/>
          <w:szCs w:val="20"/>
        </w:rPr>
        <w:t xml:space="preserve">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108e</w:t>
      </w:r>
      <w:bookmarkEnd w:id="11"/>
    </w:p>
    <w:p w14:paraId="65CB1788" w14:textId="77777777" w:rsidR="00A37577" w:rsidRDefault="003D6876">
      <w:pPr>
        <w:pStyle w:val="ListParagraph1"/>
        <w:numPr>
          <w:ilvl w:val="0"/>
          <w:numId w:val="11"/>
        </w:numPr>
        <w:spacing w:after="0" w:line="240" w:lineRule="auto"/>
        <w:ind w:left="505" w:hanging="505"/>
        <w:rPr>
          <w:rFonts w:ascii="Times New Roman" w:hAnsi="Times New Roman"/>
          <w:sz w:val="20"/>
          <w:szCs w:val="20"/>
        </w:rPr>
      </w:pPr>
      <w:bookmarkStart w:id="12" w:name="_Ref25987"/>
      <w:r>
        <w:rPr>
          <w:rFonts w:ascii="Times New Roman" w:hAnsi="Times New Roman" w:hint="eastAsia"/>
          <w:sz w:val="20"/>
          <w:szCs w:val="20"/>
        </w:rPr>
        <w:t>TR 38.821 Solutions for NR to support non-terrestrial networks (NTN), V16.1.0</w:t>
      </w:r>
      <w:bookmarkEnd w:id="12"/>
    </w:p>
    <w:p w14:paraId="3B529978" w14:textId="77777777" w:rsidR="00A37577" w:rsidRDefault="00A37577">
      <w:pPr>
        <w:pStyle w:val="ListParagraph1"/>
        <w:numPr>
          <w:ilvl w:val="255"/>
          <w:numId w:val="0"/>
        </w:numPr>
        <w:spacing w:after="0" w:line="20" w:lineRule="exact"/>
        <w:ind w:left="720"/>
        <w:rPr>
          <w:rFonts w:ascii="Times New Roman" w:hAnsi="Times New Roman"/>
          <w:sz w:val="20"/>
          <w:szCs w:val="20"/>
        </w:rPr>
      </w:pPr>
    </w:p>
    <w:sectPr w:rsidR="00A375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5F6EF" w14:textId="77777777" w:rsidR="0092314A" w:rsidRDefault="0092314A">
      <w:pPr>
        <w:spacing w:line="240" w:lineRule="auto"/>
      </w:pPr>
      <w:r>
        <w:separator/>
      </w:r>
    </w:p>
  </w:endnote>
  <w:endnote w:type="continuationSeparator" w:id="0">
    <w:p w14:paraId="47FBBD34" w14:textId="77777777" w:rsidR="0092314A" w:rsidRDefault="009231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A4A9A" w14:textId="77777777" w:rsidR="0092314A" w:rsidRDefault="0092314A">
      <w:pPr>
        <w:spacing w:after="0"/>
      </w:pPr>
      <w:r>
        <w:separator/>
      </w:r>
    </w:p>
  </w:footnote>
  <w:footnote w:type="continuationSeparator" w:id="0">
    <w:p w14:paraId="09921F80" w14:textId="77777777" w:rsidR="0092314A" w:rsidRDefault="0092314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8AEBDE"/>
    <w:multiLevelType w:val="singleLevel"/>
    <w:tmpl w:val="838AEBDE"/>
    <w:lvl w:ilvl="0">
      <w:start w:val="1"/>
      <w:numFmt w:val="lowerLetter"/>
      <w:suff w:val="space"/>
      <w:lvlText w:val="(%1)"/>
      <w:lvlJc w:val="left"/>
    </w:lvl>
  </w:abstractNum>
  <w:abstractNum w:abstractNumId="1" w15:restartNumberingAfterBreak="0">
    <w:nsid w:val="A4AD7E91"/>
    <w:multiLevelType w:val="singleLevel"/>
    <w:tmpl w:val="A4AD7E91"/>
    <w:lvl w:ilvl="0">
      <w:start w:val="1"/>
      <w:numFmt w:val="decimal"/>
      <w:suff w:val="space"/>
      <w:lvlText w:val="(%1)"/>
      <w:lvlJc w:val="left"/>
    </w:lvl>
  </w:abstractNum>
  <w:abstractNum w:abstractNumId="2"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5090DD9"/>
    <w:multiLevelType w:val="multilevel"/>
    <w:tmpl w:val="25090DD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0EFAF07"/>
    <w:multiLevelType w:val="singleLevel"/>
    <w:tmpl w:val="40EFAF07"/>
    <w:lvl w:ilvl="0">
      <w:start w:val="1"/>
      <w:numFmt w:val="lowerLetter"/>
      <w:suff w:val="space"/>
      <w:lvlText w:val="(%1)"/>
      <w:lvlJc w:val="left"/>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C673AE"/>
    <w:multiLevelType w:val="singleLevel"/>
    <w:tmpl w:val="51C673AE"/>
    <w:lvl w:ilvl="0">
      <w:start w:val="1"/>
      <w:numFmt w:val="bullet"/>
      <w:lvlText w:val=""/>
      <w:lvlJc w:val="left"/>
      <w:pPr>
        <w:tabs>
          <w:tab w:val="left" w:pos="420"/>
        </w:tabs>
        <w:ind w:left="840"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2"/>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8"/>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46F5"/>
    <w:rsid w:val="00004E88"/>
    <w:rsid w:val="00005B14"/>
    <w:rsid w:val="0000773C"/>
    <w:rsid w:val="00010179"/>
    <w:rsid w:val="00015039"/>
    <w:rsid w:val="00015132"/>
    <w:rsid w:val="000163CA"/>
    <w:rsid w:val="000207B3"/>
    <w:rsid w:val="00021434"/>
    <w:rsid w:val="00021AAE"/>
    <w:rsid w:val="00022E51"/>
    <w:rsid w:val="00022EDE"/>
    <w:rsid w:val="0002404A"/>
    <w:rsid w:val="00024905"/>
    <w:rsid w:val="000255C7"/>
    <w:rsid w:val="00026E46"/>
    <w:rsid w:val="000305EC"/>
    <w:rsid w:val="00031996"/>
    <w:rsid w:val="00031F57"/>
    <w:rsid w:val="0003439E"/>
    <w:rsid w:val="00036AF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612B"/>
    <w:rsid w:val="00096412"/>
    <w:rsid w:val="00096975"/>
    <w:rsid w:val="00097080"/>
    <w:rsid w:val="00097C29"/>
    <w:rsid w:val="000A0C3E"/>
    <w:rsid w:val="000A0C91"/>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34A7"/>
    <w:rsid w:val="00136467"/>
    <w:rsid w:val="001366F7"/>
    <w:rsid w:val="00136871"/>
    <w:rsid w:val="001369F6"/>
    <w:rsid w:val="001401D1"/>
    <w:rsid w:val="00140AE4"/>
    <w:rsid w:val="0014136C"/>
    <w:rsid w:val="0014315C"/>
    <w:rsid w:val="001447C9"/>
    <w:rsid w:val="001455B4"/>
    <w:rsid w:val="00145B2C"/>
    <w:rsid w:val="00145BE8"/>
    <w:rsid w:val="001478C9"/>
    <w:rsid w:val="00150658"/>
    <w:rsid w:val="00152B82"/>
    <w:rsid w:val="00152E17"/>
    <w:rsid w:val="00153DFD"/>
    <w:rsid w:val="00157411"/>
    <w:rsid w:val="001637D9"/>
    <w:rsid w:val="00163958"/>
    <w:rsid w:val="00163C43"/>
    <w:rsid w:val="00163E3A"/>
    <w:rsid w:val="001645E4"/>
    <w:rsid w:val="00164C6C"/>
    <w:rsid w:val="00165036"/>
    <w:rsid w:val="00166848"/>
    <w:rsid w:val="00166EF0"/>
    <w:rsid w:val="0016725B"/>
    <w:rsid w:val="00167C34"/>
    <w:rsid w:val="00170CD6"/>
    <w:rsid w:val="0017178D"/>
    <w:rsid w:val="00172A27"/>
    <w:rsid w:val="00173343"/>
    <w:rsid w:val="00173624"/>
    <w:rsid w:val="00174EE5"/>
    <w:rsid w:val="00176371"/>
    <w:rsid w:val="00176496"/>
    <w:rsid w:val="001767AB"/>
    <w:rsid w:val="00176CE4"/>
    <w:rsid w:val="00177052"/>
    <w:rsid w:val="0018253F"/>
    <w:rsid w:val="00183086"/>
    <w:rsid w:val="0018415A"/>
    <w:rsid w:val="00184A1E"/>
    <w:rsid w:val="00185634"/>
    <w:rsid w:val="00185B2D"/>
    <w:rsid w:val="0019167B"/>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4A58"/>
    <w:rsid w:val="001B61CA"/>
    <w:rsid w:val="001C3113"/>
    <w:rsid w:val="001C34AE"/>
    <w:rsid w:val="001C4B12"/>
    <w:rsid w:val="001C53EA"/>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127D"/>
    <w:rsid w:val="00202971"/>
    <w:rsid w:val="00205322"/>
    <w:rsid w:val="00206259"/>
    <w:rsid w:val="00211192"/>
    <w:rsid w:val="002150C0"/>
    <w:rsid w:val="00215B4B"/>
    <w:rsid w:val="00215C0C"/>
    <w:rsid w:val="00217CD0"/>
    <w:rsid w:val="00220720"/>
    <w:rsid w:val="00220F13"/>
    <w:rsid w:val="00222B41"/>
    <w:rsid w:val="002239D1"/>
    <w:rsid w:val="002239E2"/>
    <w:rsid w:val="002260BF"/>
    <w:rsid w:val="002277AA"/>
    <w:rsid w:val="00227B9F"/>
    <w:rsid w:val="002300DA"/>
    <w:rsid w:val="00230E2F"/>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575D"/>
    <w:rsid w:val="00295CB2"/>
    <w:rsid w:val="002A03BF"/>
    <w:rsid w:val="002A10AC"/>
    <w:rsid w:val="002A1B43"/>
    <w:rsid w:val="002A3174"/>
    <w:rsid w:val="002A40A7"/>
    <w:rsid w:val="002A431F"/>
    <w:rsid w:val="002A5D5E"/>
    <w:rsid w:val="002A5DBB"/>
    <w:rsid w:val="002A7E58"/>
    <w:rsid w:val="002B15AC"/>
    <w:rsid w:val="002B1AEC"/>
    <w:rsid w:val="002B3F53"/>
    <w:rsid w:val="002B4341"/>
    <w:rsid w:val="002B4354"/>
    <w:rsid w:val="002B5408"/>
    <w:rsid w:val="002B6229"/>
    <w:rsid w:val="002C36C2"/>
    <w:rsid w:val="002C37D5"/>
    <w:rsid w:val="002C3C85"/>
    <w:rsid w:val="002C4016"/>
    <w:rsid w:val="002C5BB8"/>
    <w:rsid w:val="002C5C2D"/>
    <w:rsid w:val="002C636A"/>
    <w:rsid w:val="002C7437"/>
    <w:rsid w:val="002D109F"/>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9F2"/>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54CA"/>
    <w:rsid w:val="003D645F"/>
    <w:rsid w:val="003D6876"/>
    <w:rsid w:val="003E10DC"/>
    <w:rsid w:val="003E21E9"/>
    <w:rsid w:val="003E239D"/>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55BF"/>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6865"/>
    <w:rsid w:val="00541AC2"/>
    <w:rsid w:val="00542F50"/>
    <w:rsid w:val="005434EA"/>
    <w:rsid w:val="0054377D"/>
    <w:rsid w:val="005439BB"/>
    <w:rsid w:val="00544E58"/>
    <w:rsid w:val="00546AA2"/>
    <w:rsid w:val="00547EED"/>
    <w:rsid w:val="00550032"/>
    <w:rsid w:val="00555010"/>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3585"/>
    <w:rsid w:val="00584402"/>
    <w:rsid w:val="0058467B"/>
    <w:rsid w:val="00584754"/>
    <w:rsid w:val="005847B4"/>
    <w:rsid w:val="00587B31"/>
    <w:rsid w:val="00591874"/>
    <w:rsid w:val="00591995"/>
    <w:rsid w:val="00591A9A"/>
    <w:rsid w:val="00591AFC"/>
    <w:rsid w:val="00593A13"/>
    <w:rsid w:val="005942C9"/>
    <w:rsid w:val="00594C6B"/>
    <w:rsid w:val="00595D60"/>
    <w:rsid w:val="00595FF1"/>
    <w:rsid w:val="00596155"/>
    <w:rsid w:val="0059699B"/>
    <w:rsid w:val="00596B55"/>
    <w:rsid w:val="005A44CD"/>
    <w:rsid w:val="005A4AEC"/>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5005"/>
    <w:rsid w:val="006A770B"/>
    <w:rsid w:val="006A78AB"/>
    <w:rsid w:val="006B11B9"/>
    <w:rsid w:val="006B2BFD"/>
    <w:rsid w:val="006B2F59"/>
    <w:rsid w:val="006B3E7B"/>
    <w:rsid w:val="006B44DE"/>
    <w:rsid w:val="006B68A9"/>
    <w:rsid w:val="006B68BB"/>
    <w:rsid w:val="006C2AFB"/>
    <w:rsid w:val="006C5BED"/>
    <w:rsid w:val="006C6196"/>
    <w:rsid w:val="006C63FA"/>
    <w:rsid w:val="006C79CC"/>
    <w:rsid w:val="006C7C94"/>
    <w:rsid w:val="006D02E7"/>
    <w:rsid w:val="006D2633"/>
    <w:rsid w:val="006D267E"/>
    <w:rsid w:val="006D2F82"/>
    <w:rsid w:val="006D419D"/>
    <w:rsid w:val="006D471A"/>
    <w:rsid w:val="006D5130"/>
    <w:rsid w:val="006D51BF"/>
    <w:rsid w:val="006E381A"/>
    <w:rsid w:val="006E409B"/>
    <w:rsid w:val="006E492C"/>
    <w:rsid w:val="006E56D5"/>
    <w:rsid w:val="006E5A5A"/>
    <w:rsid w:val="006F05F7"/>
    <w:rsid w:val="006F2A5C"/>
    <w:rsid w:val="006F31E9"/>
    <w:rsid w:val="006F4431"/>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141"/>
    <w:rsid w:val="0072584B"/>
    <w:rsid w:val="00727B0F"/>
    <w:rsid w:val="00727CFC"/>
    <w:rsid w:val="00730673"/>
    <w:rsid w:val="00730741"/>
    <w:rsid w:val="00731300"/>
    <w:rsid w:val="00734A39"/>
    <w:rsid w:val="00737944"/>
    <w:rsid w:val="007403F3"/>
    <w:rsid w:val="00742CED"/>
    <w:rsid w:val="00744CC0"/>
    <w:rsid w:val="00744DC7"/>
    <w:rsid w:val="0074513B"/>
    <w:rsid w:val="007453DB"/>
    <w:rsid w:val="00745D0B"/>
    <w:rsid w:val="00745EBE"/>
    <w:rsid w:val="00746683"/>
    <w:rsid w:val="0074781F"/>
    <w:rsid w:val="00747A13"/>
    <w:rsid w:val="00752F91"/>
    <w:rsid w:val="00753EB1"/>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FE7"/>
    <w:rsid w:val="007824B2"/>
    <w:rsid w:val="0078257B"/>
    <w:rsid w:val="00782A64"/>
    <w:rsid w:val="0078436A"/>
    <w:rsid w:val="0078446D"/>
    <w:rsid w:val="0078687B"/>
    <w:rsid w:val="00786908"/>
    <w:rsid w:val="0078717C"/>
    <w:rsid w:val="0078758C"/>
    <w:rsid w:val="007907A9"/>
    <w:rsid w:val="007918C5"/>
    <w:rsid w:val="00792482"/>
    <w:rsid w:val="007934C2"/>
    <w:rsid w:val="00794C8F"/>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3E45"/>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573"/>
    <w:rsid w:val="0082282A"/>
    <w:rsid w:val="0082555C"/>
    <w:rsid w:val="00825ED8"/>
    <w:rsid w:val="008334EA"/>
    <w:rsid w:val="00841902"/>
    <w:rsid w:val="008423C1"/>
    <w:rsid w:val="00845237"/>
    <w:rsid w:val="0084566C"/>
    <w:rsid w:val="008463DA"/>
    <w:rsid w:val="00846BA7"/>
    <w:rsid w:val="0084703B"/>
    <w:rsid w:val="0084712E"/>
    <w:rsid w:val="0085082A"/>
    <w:rsid w:val="00853AB1"/>
    <w:rsid w:val="00853BE7"/>
    <w:rsid w:val="0085425D"/>
    <w:rsid w:val="00854B30"/>
    <w:rsid w:val="008551DD"/>
    <w:rsid w:val="00860235"/>
    <w:rsid w:val="00860DB0"/>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9F1"/>
    <w:rsid w:val="00892E93"/>
    <w:rsid w:val="00893F1F"/>
    <w:rsid w:val="008945C3"/>
    <w:rsid w:val="00895C67"/>
    <w:rsid w:val="00895F0E"/>
    <w:rsid w:val="0089673D"/>
    <w:rsid w:val="00896877"/>
    <w:rsid w:val="00896AF8"/>
    <w:rsid w:val="00897EB1"/>
    <w:rsid w:val="008A03E3"/>
    <w:rsid w:val="008A2C68"/>
    <w:rsid w:val="008A60B6"/>
    <w:rsid w:val="008B0592"/>
    <w:rsid w:val="008B141F"/>
    <w:rsid w:val="008B18D9"/>
    <w:rsid w:val="008B2440"/>
    <w:rsid w:val="008B273D"/>
    <w:rsid w:val="008B2F8C"/>
    <w:rsid w:val="008B3AB6"/>
    <w:rsid w:val="008B4D33"/>
    <w:rsid w:val="008B5145"/>
    <w:rsid w:val="008B550C"/>
    <w:rsid w:val="008B7BC8"/>
    <w:rsid w:val="008C12B2"/>
    <w:rsid w:val="008C36DF"/>
    <w:rsid w:val="008C3882"/>
    <w:rsid w:val="008C67BD"/>
    <w:rsid w:val="008C694F"/>
    <w:rsid w:val="008C7B46"/>
    <w:rsid w:val="008D1239"/>
    <w:rsid w:val="008D54D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680C"/>
    <w:rsid w:val="00906E21"/>
    <w:rsid w:val="00907734"/>
    <w:rsid w:val="009077A1"/>
    <w:rsid w:val="00910209"/>
    <w:rsid w:val="00917598"/>
    <w:rsid w:val="009175DC"/>
    <w:rsid w:val="00917DC8"/>
    <w:rsid w:val="0092166C"/>
    <w:rsid w:val="00921B3A"/>
    <w:rsid w:val="009222AF"/>
    <w:rsid w:val="0092314A"/>
    <w:rsid w:val="00923489"/>
    <w:rsid w:val="009258EB"/>
    <w:rsid w:val="009264C7"/>
    <w:rsid w:val="00926F55"/>
    <w:rsid w:val="00927355"/>
    <w:rsid w:val="00927AD8"/>
    <w:rsid w:val="00927F24"/>
    <w:rsid w:val="00930C7F"/>
    <w:rsid w:val="00931B4D"/>
    <w:rsid w:val="00933578"/>
    <w:rsid w:val="00934843"/>
    <w:rsid w:val="00934E6E"/>
    <w:rsid w:val="00935F25"/>
    <w:rsid w:val="0094282A"/>
    <w:rsid w:val="00942CBD"/>
    <w:rsid w:val="00943D86"/>
    <w:rsid w:val="0094500B"/>
    <w:rsid w:val="00951A21"/>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DD"/>
    <w:rsid w:val="00A25A90"/>
    <w:rsid w:val="00A25CDE"/>
    <w:rsid w:val="00A3094F"/>
    <w:rsid w:val="00A32A62"/>
    <w:rsid w:val="00A32D0C"/>
    <w:rsid w:val="00A350E9"/>
    <w:rsid w:val="00A35991"/>
    <w:rsid w:val="00A3612D"/>
    <w:rsid w:val="00A37577"/>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6866"/>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735BE"/>
    <w:rsid w:val="00B7364A"/>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BA4"/>
    <w:rsid w:val="00BF4689"/>
    <w:rsid w:val="00BF5647"/>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20B8F"/>
    <w:rsid w:val="00C20B9A"/>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B3A"/>
    <w:rsid w:val="00C81C69"/>
    <w:rsid w:val="00C83DD4"/>
    <w:rsid w:val="00C85BFF"/>
    <w:rsid w:val="00C873A4"/>
    <w:rsid w:val="00C90EA9"/>
    <w:rsid w:val="00CA0D4F"/>
    <w:rsid w:val="00CA1224"/>
    <w:rsid w:val="00CA1397"/>
    <w:rsid w:val="00CA519E"/>
    <w:rsid w:val="00CA7DE4"/>
    <w:rsid w:val="00CB165F"/>
    <w:rsid w:val="00CB18A2"/>
    <w:rsid w:val="00CB2FE4"/>
    <w:rsid w:val="00CB3621"/>
    <w:rsid w:val="00CB4A68"/>
    <w:rsid w:val="00CC1380"/>
    <w:rsid w:val="00CC35F8"/>
    <w:rsid w:val="00CC47FF"/>
    <w:rsid w:val="00CC4B2C"/>
    <w:rsid w:val="00CC7D91"/>
    <w:rsid w:val="00CD08DD"/>
    <w:rsid w:val="00CD1A96"/>
    <w:rsid w:val="00CD2824"/>
    <w:rsid w:val="00CD2BB2"/>
    <w:rsid w:val="00CD6203"/>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3028"/>
    <w:rsid w:val="00D030AA"/>
    <w:rsid w:val="00D05292"/>
    <w:rsid w:val="00D05363"/>
    <w:rsid w:val="00D05C99"/>
    <w:rsid w:val="00D07E6C"/>
    <w:rsid w:val="00D125AC"/>
    <w:rsid w:val="00D12F91"/>
    <w:rsid w:val="00D13E2D"/>
    <w:rsid w:val="00D14AAA"/>
    <w:rsid w:val="00D155DC"/>
    <w:rsid w:val="00D15C7E"/>
    <w:rsid w:val="00D17DBC"/>
    <w:rsid w:val="00D20D5C"/>
    <w:rsid w:val="00D21EDC"/>
    <w:rsid w:val="00D23502"/>
    <w:rsid w:val="00D237D5"/>
    <w:rsid w:val="00D242BD"/>
    <w:rsid w:val="00D2545E"/>
    <w:rsid w:val="00D256F9"/>
    <w:rsid w:val="00D263F3"/>
    <w:rsid w:val="00D2714E"/>
    <w:rsid w:val="00D3123C"/>
    <w:rsid w:val="00D336EC"/>
    <w:rsid w:val="00D3373B"/>
    <w:rsid w:val="00D34071"/>
    <w:rsid w:val="00D34AAF"/>
    <w:rsid w:val="00D36E59"/>
    <w:rsid w:val="00D3747D"/>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7D8"/>
    <w:rsid w:val="00D56A56"/>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A6B17"/>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4314"/>
    <w:rsid w:val="00E46F0A"/>
    <w:rsid w:val="00E5094F"/>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D0581"/>
    <w:rsid w:val="00ED0C20"/>
    <w:rsid w:val="00ED2ACE"/>
    <w:rsid w:val="00ED3590"/>
    <w:rsid w:val="00ED4BDC"/>
    <w:rsid w:val="00ED4F72"/>
    <w:rsid w:val="00ED76E9"/>
    <w:rsid w:val="00ED7B0C"/>
    <w:rsid w:val="00EE0830"/>
    <w:rsid w:val="00EE121C"/>
    <w:rsid w:val="00EE30ED"/>
    <w:rsid w:val="00EE3525"/>
    <w:rsid w:val="00EE45E3"/>
    <w:rsid w:val="00EE552F"/>
    <w:rsid w:val="00EE6D10"/>
    <w:rsid w:val="00EE6E7F"/>
    <w:rsid w:val="00EF2FF8"/>
    <w:rsid w:val="00EF3AE0"/>
    <w:rsid w:val="00EF3BB3"/>
    <w:rsid w:val="00EF4797"/>
    <w:rsid w:val="00EF4DCD"/>
    <w:rsid w:val="00EF62BF"/>
    <w:rsid w:val="00EF7A2E"/>
    <w:rsid w:val="00F01310"/>
    <w:rsid w:val="00F01BA7"/>
    <w:rsid w:val="00F054DE"/>
    <w:rsid w:val="00F07115"/>
    <w:rsid w:val="00F0753E"/>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45A1"/>
    <w:rsid w:val="00F57645"/>
    <w:rsid w:val="00F57E94"/>
    <w:rsid w:val="00F603C8"/>
    <w:rsid w:val="00F60474"/>
    <w:rsid w:val="00F6055A"/>
    <w:rsid w:val="00F60F57"/>
    <w:rsid w:val="00F61B71"/>
    <w:rsid w:val="00F640C3"/>
    <w:rsid w:val="00F66D50"/>
    <w:rsid w:val="00F674BA"/>
    <w:rsid w:val="00F6772F"/>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440C2F"/>
    <w:rsid w:val="027030CC"/>
    <w:rsid w:val="029A6F8B"/>
    <w:rsid w:val="02B61011"/>
    <w:rsid w:val="031E77DD"/>
    <w:rsid w:val="032F2A05"/>
    <w:rsid w:val="033D4C36"/>
    <w:rsid w:val="038627B8"/>
    <w:rsid w:val="03CF5743"/>
    <w:rsid w:val="04115339"/>
    <w:rsid w:val="04122769"/>
    <w:rsid w:val="041B3FB5"/>
    <w:rsid w:val="0441000A"/>
    <w:rsid w:val="04424A26"/>
    <w:rsid w:val="04BC240B"/>
    <w:rsid w:val="04BE3BD3"/>
    <w:rsid w:val="04E57349"/>
    <w:rsid w:val="058F5409"/>
    <w:rsid w:val="05A51DB9"/>
    <w:rsid w:val="060B7677"/>
    <w:rsid w:val="061A5313"/>
    <w:rsid w:val="061A69EE"/>
    <w:rsid w:val="0641548F"/>
    <w:rsid w:val="06492AAF"/>
    <w:rsid w:val="0671338F"/>
    <w:rsid w:val="06742E8C"/>
    <w:rsid w:val="0698417D"/>
    <w:rsid w:val="069D2949"/>
    <w:rsid w:val="06C40896"/>
    <w:rsid w:val="06CD6568"/>
    <w:rsid w:val="06D946F5"/>
    <w:rsid w:val="06FE7FDB"/>
    <w:rsid w:val="070754CD"/>
    <w:rsid w:val="072E7F81"/>
    <w:rsid w:val="0734625B"/>
    <w:rsid w:val="07351825"/>
    <w:rsid w:val="07975E0D"/>
    <w:rsid w:val="07FA29C5"/>
    <w:rsid w:val="0806057A"/>
    <w:rsid w:val="084A2556"/>
    <w:rsid w:val="087255D0"/>
    <w:rsid w:val="088E4584"/>
    <w:rsid w:val="08A477F9"/>
    <w:rsid w:val="08D02C41"/>
    <w:rsid w:val="08E73A74"/>
    <w:rsid w:val="08E73F86"/>
    <w:rsid w:val="08F45AE2"/>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D8076E"/>
    <w:rsid w:val="0D3614D2"/>
    <w:rsid w:val="0D4A190D"/>
    <w:rsid w:val="0D4E23A3"/>
    <w:rsid w:val="0D871014"/>
    <w:rsid w:val="0D9A18D0"/>
    <w:rsid w:val="0DD0188F"/>
    <w:rsid w:val="0DE0505C"/>
    <w:rsid w:val="0E264CC8"/>
    <w:rsid w:val="0E6B3D1C"/>
    <w:rsid w:val="0E74349E"/>
    <w:rsid w:val="0E7E64AC"/>
    <w:rsid w:val="0E865C18"/>
    <w:rsid w:val="0E9374EA"/>
    <w:rsid w:val="0EB94892"/>
    <w:rsid w:val="0F012471"/>
    <w:rsid w:val="0F09353F"/>
    <w:rsid w:val="0F2E2D2F"/>
    <w:rsid w:val="0F380138"/>
    <w:rsid w:val="0F4C40F9"/>
    <w:rsid w:val="0F571F81"/>
    <w:rsid w:val="0F5F7948"/>
    <w:rsid w:val="0F991079"/>
    <w:rsid w:val="0FA13584"/>
    <w:rsid w:val="100573B4"/>
    <w:rsid w:val="10BE71C3"/>
    <w:rsid w:val="10F61CD8"/>
    <w:rsid w:val="10FB4A31"/>
    <w:rsid w:val="11337EFB"/>
    <w:rsid w:val="115713ED"/>
    <w:rsid w:val="11600A16"/>
    <w:rsid w:val="11707147"/>
    <w:rsid w:val="11761878"/>
    <w:rsid w:val="118A635C"/>
    <w:rsid w:val="11BE3C2F"/>
    <w:rsid w:val="11D34FC9"/>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FF48BD"/>
    <w:rsid w:val="17183CCA"/>
    <w:rsid w:val="174428E9"/>
    <w:rsid w:val="17452200"/>
    <w:rsid w:val="176420E2"/>
    <w:rsid w:val="178B74E4"/>
    <w:rsid w:val="17992837"/>
    <w:rsid w:val="17BB7C5F"/>
    <w:rsid w:val="18127246"/>
    <w:rsid w:val="18376C5B"/>
    <w:rsid w:val="183C749A"/>
    <w:rsid w:val="18527289"/>
    <w:rsid w:val="185E77BE"/>
    <w:rsid w:val="187472F0"/>
    <w:rsid w:val="18877CCA"/>
    <w:rsid w:val="18A81BCE"/>
    <w:rsid w:val="18BB49A9"/>
    <w:rsid w:val="18BD7907"/>
    <w:rsid w:val="19181D00"/>
    <w:rsid w:val="19370A73"/>
    <w:rsid w:val="19AC6797"/>
    <w:rsid w:val="19FE3D52"/>
    <w:rsid w:val="1A182E22"/>
    <w:rsid w:val="1A680331"/>
    <w:rsid w:val="1A7C2890"/>
    <w:rsid w:val="1AA846CB"/>
    <w:rsid w:val="1AA8733D"/>
    <w:rsid w:val="1B0051DB"/>
    <w:rsid w:val="1B1D327A"/>
    <w:rsid w:val="1B324FB0"/>
    <w:rsid w:val="1B5653C7"/>
    <w:rsid w:val="1B807109"/>
    <w:rsid w:val="1B975ED5"/>
    <w:rsid w:val="1BAF2B27"/>
    <w:rsid w:val="1C0A6142"/>
    <w:rsid w:val="1C594598"/>
    <w:rsid w:val="1C7976A4"/>
    <w:rsid w:val="1C8735BD"/>
    <w:rsid w:val="1D0B0A16"/>
    <w:rsid w:val="1D3212A4"/>
    <w:rsid w:val="1D4B08BC"/>
    <w:rsid w:val="1D650CC3"/>
    <w:rsid w:val="1DF36F10"/>
    <w:rsid w:val="1E1A3914"/>
    <w:rsid w:val="1E5B735D"/>
    <w:rsid w:val="1EBE11B1"/>
    <w:rsid w:val="1EC63D7C"/>
    <w:rsid w:val="1EE13120"/>
    <w:rsid w:val="1EEC1248"/>
    <w:rsid w:val="1EF24A99"/>
    <w:rsid w:val="1F145E2D"/>
    <w:rsid w:val="1F4D61EB"/>
    <w:rsid w:val="1F9A6A11"/>
    <w:rsid w:val="1FD41E96"/>
    <w:rsid w:val="1FFC1DC4"/>
    <w:rsid w:val="207E6C00"/>
    <w:rsid w:val="20831983"/>
    <w:rsid w:val="20A0176D"/>
    <w:rsid w:val="20B2740F"/>
    <w:rsid w:val="21344642"/>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9A1EB1"/>
    <w:rsid w:val="24E07E36"/>
    <w:rsid w:val="25027CEC"/>
    <w:rsid w:val="251A47DB"/>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B91633"/>
    <w:rsid w:val="27BE4B44"/>
    <w:rsid w:val="27D0173F"/>
    <w:rsid w:val="27DD18F1"/>
    <w:rsid w:val="28163B2C"/>
    <w:rsid w:val="281B2B80"/>
    <w:rsid w:val="28227A69"/>
    <w:rsid w:val="28DC66D6"/>
    <w:rsid w:val="28E6016C"/>
    <w:rsid w:val="28E61363"/>
    <w:rsid w:val="28F81A01"/>
    <w:rsid w:val="293C4340"/>
    <w:rsid w:val="29630D60"/>
    <w:rsid w:val="299261A8"/>
    <w:rsid w:val="29976826"/>
    <w:rsid w:val="2A447D96"/>
    <w:rsid w:val="2AA22547"/>
    <w:rsid w:val="2AA27CAB"/>
    <w:rsid w:val="2B0651FF"/>
    <w:rsid w:val="2B8E3855"/>
    <w:rsid w:val="2B942C10"/>
    <w:rsid w:val="2BBE7D2C"/>
    <w:rsid w:val="2BD41345"/>
    <w:rsid w:val="2BEE5854"/>
    <w:rsid w:val="2C897AD5"/>
    <w:rsid w:val="2CBD4227"/>
    <w:rsid w:val="2CFC2C0B"/>
    <w:rsid w:val="2D1F1FF1"/>
    <w:rsid w:val="2D266524"/>
    <w:rsid w:val="2D2C75CF"/>
    <w:rsid w:val="2D4C2D0F"/>
    <w:rsid w:val="2D8C25BE"/>
    <w:rsid w:val="2DBB66F9"/>
    <w:rsid w:val="2DD90901"/>
    <w:rsid w:val="2E3F6FF1"/>
    <w:rsid w:val="2E4E27CA"/>
    <w:rsid w:val="2E5D0DE4"/>
    <w:rsid w:val="2EBA6468"/>
    <w:rsid w:val="2ED647A7"/>
    <w:rsid w:val="2ED6546B"/>
    <w:rsid w:val="2ED96FE6"/>
    <w:rsid w:val="2EE96EDE"/>
    <w:rsid w:val="2EFD6C01"/>
    <w:rsid w:val="2F1E329D"/>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C4FA2"/>
    <w:rsid w:val="34BD1D33"/>
    <w:rsid w:val="34CD2EB2"/>
    <w:rsid w:val="34FE33DD"/>
    <w:rsid w:val="35293D5E"/>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2E0A25"/>
    <w:rsid w:val="3E3B24BF"/>
    <w:rsid w:val="3E64265A"/>
    <w:rsid w:val="3E6C3FAF"/>
    <w:rsid w:val="3E8E0FDF"/>
    <w:rsid w:val="3E93172F"/>
    <w:rsid w:val="3EA51E2C"/>
    <w:rsid w:val="3EAC040D"/>
    <w:rsid w:val="3EF34B07"/>
    <w:rsid w:val="3F1617B9"/>
    <w:rsid w:val="3F72094D"/>
    <w:rsid w:val="3FAD777A"/>
    <w:rsid w:val="3FC52740"/>
    <w:rsid w:val="3FD1085F"/>
    <w:rsid w:val="3FF13A3F"/>
    <w:rsid w:val="40117EB2"/>
    <w:rsid w:val="401A03CE"/>
    <w:rsid w:val="406075D2"/>
    <w:rsid w:val="406D1780"/>
    <w:rsid w:val="409A1B98"/>
    <w:rsid w:val="40CD6B92"/>
    <w:rsid w:val="411B4824"/>
    <w:rsid w:val="413D5C6F"/>
    <w:rsid w:val="413D73C6"/>
    <w:rsid w:val="4181493C"/>
    <w:rsid w:val="41A22AC3"/>
    <w:rsid w:val="41DE0C28"/>
    <w:rsid w:val="42120A50"/>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7DE4A9E"/>
    <w:rsid w:val="48201CB2"/>
    <w:rsid w:val="488241AC"/>
    <w:rsid w:val="488A01D5"/>
    <w:rsid w:val="489A5AD0"/>
    <w:rsid w:val="48BC0178"/>
    <w:rsid w:val="48E2348D"/>
    <w:rsid w:val="490B58A7"/>
    <w:rsid w:val="491A0CE2"/>
    <w:rsid w:val="492A3B5A"/>
    <w:rsid w:val="493C077D"/>
    <w:rsid w:val="49490F6C"/>
    <w:rsid w:val="49587306"/>
    <w:rsid w:val="49A9444F"/>
    <w:rsid w:val="49EE28F9"/>
    <w:rsid w:val="4A1242B7"/>
    <w:rsid w:val="4A20103D"/>
    <w:rsid w:val="4A2631E4"/>
    <w:rsid w:val="4A9061CF"/>
    <w:rsid w:val="4A955F53"/>
    <w:rsid w:val="4B024453"/>
    <w:rsid w:val="4B144D40"/>
    <w:rsid w:val="4B230331"/>
    <w:rsid w:val="4B4107D0"/>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CB1184"/>
    <w:rsid w:val="4DDD5294"/>
    <w:rsid w:val="4DF00666"/>
    <w:rsid w:val="4E1472EE"/>
    <w:rsid w:val="4E257CC1"/>
    <w:rsid w:val="4E33012A"/>
    <w:rsid w:val="4E552608"/>
    <w:rsid w:val="4E68191A"/>
    <w:rsid w:val="4E6B1DD7"/>
    <w:rsid w:val="4E857630"/>
    <w:rsid w:val="4E8F1021"/>
    <w:rsid w:val="4E960D48"/>
    <w:rsid w:val="4E977538"/>
    <w:rsid w:val="4EE00DC9"/>
    <w:rsid w:val="4EE707FB"/>
    <w:rsid w:val="4F002168"/>
    <w:rsid w:val="4F3E18B2"/>
    <w:rsid w:val="4FB17A29"/>
    <w:rsid w:val="4FEA56E6"/>
    <w:rsid w:val="503150E3"/>
    <w:rsid w:val="50836079"/>
    <w:rsid w:val="509171DA"/>
    <w:rsid w:val="50CB4649"/>
    <w:rsid w:val="51057F79"/>
    <w:rsid w:val="51475CC0"/>
    <w:rsid w:val="514D59E0"/>
    <w:rsid w:val="51694330"/>
    <w:rsid w:val="51895191"/>
    <w:rsid w:val="51AF698E"/>
    <w:rsid w:val="51C06621"/>
    <w:rsid w:val="51C23BAD"/>
    <w:rsid w:val="51DD319C"/>
    <w:rsid w:val="520F6D93"/>
    <w:rsid w:val="52252EBD"/>
    <w:rsid w:val="529B6F98"/>
    <w:rsid w:val="52A66C49"/>
    <w:rsid w:val="52B63145"/>
    <w:rsid w:val="52BB1F28"/>
    <w:rsid w:val="52E71FB4"/>
    <w:rsid w:val="53AE5964"/>
    <w:rsid w:val="53B54782"/>
    <w:rsid w:val="54494545"/>
    <w:rsid w:val="547B4879"/>
    <w:rsid w:val="54AA0A30"/>
    <w:rsid w:val="54B00903"/>
    <w:rsid w:val="54CB7EA9"/>
    <w:rsid w:val="54DE303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4D1625"/>
    <w:rsid w:val="60A239C9"/>
    <w:rsid w:val="60CB5549"/>
    <w:rsid w:val="60FA6D79"/>
    <w:rsid w:val="610A150D"/>
    <w:rsid w:val="61175A8E"/>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3D7B82"/>
    <w:rsid w:val="64806028"/>
    <w:rsid w:val="64CF2277"/>
    <w:rsid w:val="64F73439"/>
    <w:rsid w:val="650802E3"/>
    <w:rsid w:val="650B252D"/>
    <w:rsid w:val="6530763D"/>
    <w:rsid w:val="6531024B"/>
    <w:rsid w:val="65506B03"/>
    <w:rsid w:val="6574639E"/>
    <w:rsid w:val="657D32A1"/>
    <w:rsid w:val="657E3736"/>
    <w:rsid w:val="66083494"/>
    <w:rsid w:val="66257BD6"/>
    <w:rsid w:val="667C7C00"/>
    <w:rsid w:val="668E1C3C"/>
    <w:rsid w:val="66E84324"/>
    <w:rsid w:val="66F44120"/>
    <w:rsid w:val="67321F44"/>
    <w:rsid w:val="67390939"/>
    <w:rsid w:val="676C2CBF"/>
    <w:rsid w:val="67C046AA"/>
    <w:rsid w:val="68791231"/>
    <w:rsid w:val="68812F96"/>
    <w:rsid w:val="688A1D55"/>
    <w:rsid w:val="68BF756D"/>
    <w:rsid w:val="68CE27BB"/>
    <w:rsid w:val="68E56882"/>
    <w:rsid w:val="68F84167"/>
    <w:rsid w:val="691F09A3"/>
    <w:rsid w:val="694A2AD0"/>
    <w:rsid w:val="69500604"/>
    <w:rsid w:val="696D08E0"/>
    <w:rsid w:val="69C15A14"/>
    <w:rsid w:val="69C84FA5"/>
    <w:rsid w:val="69CB2A62"/>
    <w:rsid w:val="69CC2B0F"/>
    <w:rsid w:val="69D82D07"/>
    <w:rsid w:val="6A07511F"/>
    <w:rsid w:val="6A8848D8"/>
    <w:rsid w:val="6A9D190B"/>
    <w:rsid w:val="6AC10B58"/>
    <w:rsid w:val="6AC41799"/>
    <w:rsid w:val="6B8954B5"/>
    <w:rsid w:val="6BAE42B9"/>
    <w:rsid w:val="6BBD214F"/>
    <w:rsid w:val="6BDF5F4E"/>
    <w:rsid w:val="6BED58AF"/>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E064F"/>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D3131"/>
    <w:rsid w:val="78E4026D"/>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83108A"/>
    <w:rsid w:val="7BAE5A06"/>
    <w:rsid w:val="7BDF1C40"/>
    <w:rsid w:val="7BFE2799"/>
    <w:rsid w:val="7CAB63B7"/>
    <w:rsid w:val="7CB818B8"/>
    <w:rsid w:val="7CD50713"/>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164F450-7E99-4AD5-AD1E-1520A9B47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annotation subject"/>
    <w:basedOn w:val="a4"/>
    <w:next w:val="a4"/>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9"/>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6CD102-692D-4353-8780-BD72287B8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1441</Words>
  <Characters>8218</Characters>
  <Application>Microsoft Office Word</Application>
  <DocSecurity>0</DocSecurity>
  <Lines>68</Lines>
  <Paragraphs>19</Paragraphs>
  <ScaleCrop>false</ScaleCrop>
  <Company/>
  <LinksUpToDate>false</LinksUpToDate>
  <CharactersWithSpaces>9640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 Zhang-ZTE</cp:lastModifiedBy>
  <cp:revision>3</cp:revision>
  <dcterms:created xsi:type="dcterms:W3CDTF">2022-04-19T00:47:00Z</dcterms:created>
  <dcterms:modified xsi:type="dcterms:W3CDTF">2022-04-19T00:47:00Z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